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7DE" w:rsidRDefault="00AA37DE" w:rsidP="00AA37DE">
      <w:pPr>
        <w:pStyle w:val="Default"/>
      </w:pPr>
    </w:p>
    <w:p w:rsidR="00AA37DE" w:rsidRDefault="00AA37DE" w:rsidP="00AA37DE">
      <w:pPr>
        <w:pStyle w:val="Default"/>
        <w:rPr>
          <w:sz w:val="23"/>
          <w:szCs w:val="23"/>
        </w:rPr>
      </w:pPr>
    </w:p>
    <w:p w:rsidR="00AA37DE" w:rsidRDefault="00AA37DE" w:rsidP="00AA37DE">
      <w:pPr>
        <w:pStyle w:val="Default"/>
        <w:rPr>
          <w:sz w:val="23"/>
          <w:szCs w:val="23"/>
        </w:rPr>
      </w:pPr>
      <w:r>
        <w:rPr>
          <w:sz w:val="23"/>
          <w:szCs w:val="23"/>
        </w:rPr>
        <w:t xml:space="preserve">2. Organismos científicos evaluadores: seguridad alimentaria y </w:t>
      </w:r>
      <w:proofErr w:type="gramStart"/>
      <w:r>
        <w:rPr>
          <w:sz w:val="23"/>
          <w:szCs w:val="23"/>
        </w:rPr>
        <w:t>medioambiental …</w:t>
      </w:r>
      <w:proofErr w:type="gramEnd"/>
      <w:r>
        <w:rPr>
          <w:sz w:val="23"/>
          <w:szCs w:val="23"/>
        </w:rPr>
        <w:t xml:space="preserve">………..…….… 10 </w:t>
      </w:r>
    </w:p>
    <w:p w:rsidR="00AA37DE" w:rsidRDefault="00AA37DE" w:rsidP="00AA37DE">
      <w:pPr>
        <w:pStyle w:val="Default"/>
        <w:rPr>
          <w:sz w:val="23"/>
          <w:szCs w:val="23"/>
        </w:rPr>
      </w:pPr>
    </w:p>
    <w:p w:rsidR="00AA37DE" w:rsidRDefault="00AA37DE" w:rsidP="00AA37DE">
      <w:pPr>
        <w:pStyle w:val="Default"/>
        <w:rPr>
          <w:sz w:val="22"/>
          <w:szCs w:val="22"/>
        </w:rPr>
      </w:pPr>
      <w:r>
        <w:rPr>
          <w:sz w:val="22"/>
          <w:szCs w:val="22"/>
        </w:rPr>
        <w:t xml:space="preserve">2.1. EFSA: qué es y como desarrolla sus actividades ……………………………………………………………………….… 10 </w:t>
      </w:r>
    </w:p>
    <w:p w:rsidR="00AA37DE" w:rsidRDefault="00AA37DE" w:rsidP="00AA37DE">
      <w:pPr>
        <w:pStyle w:val="Default"/>
        <w:rPr>
          <w:sz w:val="22"/>
          <w:szCs w:val="22"/>
        </w:rPr>
      </w:pPr>
      <w:r>
        <w:rPr>
          <w:sz w:val="22"/>
          <w:szCs w:val="22"/>
        </w:rPr>
        <w:t xml:space="preserve">2.2. Introducción a la situación actual de los GMO y principales transgénicos aprobados ………………… 11 </w:t>
      </w:r>
    </w:p>
    <w:p w:rsidR="00AA37DE" w:rsidRDefault="00AA37DE" w:rsidP="00AA37DE">
      <w:pPr>
        <w:pStyle w:val="Default"/>
        <w:rPr>
          <w:sz w:val="22"/>
          <w:szCs w:val="22"/>
        </w:rPr>
      </w:pPr>
      <w:r>
        <w:rPr>
          <w:sz w:val="22"/>
          <w:szCs w:val="22"/>
        </w:rPr>
        <w:t xml:space="preserve">2.3. Posición de la EFSA: criterios </w:t>
      </w:r>
      <w:proofErr w:type="gramStart"/>
      <w:r>
        <w:rPr>
          <w:sz w:val="22"/>
          <w:szCs w:val="22"/>
        </w:rPr>
        <w:t>científicos …</w:t>
      </w:r>
      <w:proofErr w:type="gramEnd"/>
      <w:r>
        <w:rPr>
          <w:sz w:val="22"/>
          <w:szCs w:val="22"/>
        </w:rPr>
        <w:t xml:space="preserve">……………………………………………………………………………..…... 15 </w:t>
      </w:r>
    </w:p>
    <w:p w:rsidR="00AA37DE" w:rsidRDefault="00AA37DE" w:rsidP="00AA37DE">
      <w:pPr>
        <w:pStyle w:val="Default"/>
        <w:rPr>
          <w:sz w:val="22"/>
          <w:szCs w:val="22"/>
        </w:rPr>
      </w:pPr>
      <w:r>
        <w:rPr>
          <w:sz w:val="22"/>
          <w:szCs w:val="22"/>
        </w:rPr>
        <w:t xml:space="preserve">2.4. Riesgos de los GMO para la salud pública ……………………………………………………………………….…………. 19 </w:t>
      </w:r>
    </w:p>
    <w:p w:rsidR="00AA37DE" w:rsidRDefault="00AA37DE" w:rsidP="00AA37DE">
      <w:pPr>
        <w:pStyle w:val="Default"/>
        <w:rPr>
          <w:sz w:val="22"/>
          <w:szCs w:val="22"/>
        </w:rPr>
      </w:pPr>
      <w:r>
        <w:rPr>
          <w:sz w:val="22"/>
          <w:szCs w:val="22"/>
        </w:rPr>
        <w:t xml:space="preserve">2.5. Riesgos de los GMO en relación con el </w:t>
      </w:r>
      <w:proofErr w:type="gramStart"/>
      <w:r>
        <w:rPr>
          <w:sz w:val="22"/>
          <w:szCs w:val="22"/>
        </w:rPr>
        <w:t>medioambiente …</w:t>
      </w:r>
      <w:proofErr w:type="gramEnd"/>
      <w:r>
        <w:rPr>
          <w:sz w:val="22"/>
          <w:szCs w:val="22"/>
        </w:rPr>
        <w:t xml:space="preserve">…………………………………………….…...…..… 22 </w:t>
      </w:r>
    </w:p>
    <w:p w:rsidR="00AA37DE" w:rsidRDefault="00AA37DE" w:rsidP="00AA37DE">
      <w:pPr>
        <w:pStyle w:val="Default"/>
        <w:rPr>
          <w:sz w:val="22"/>
          <w:szCs w:val="22"/>
        </w:rPr>
      </w:pPr>
      <w:r>
        <w:rPr>
          <w:sz w:val="22"/>
          <w:szCs w:val="22"/>
        </w:rPr>
        <w:t xml:space="preserve">2.6. El caso norteamericano: FDA, posición y </w:t>
      </w:r>
      <w:proofErr w:type="gramStart"/>
      <w:r>
        <w:rPr>
          <w:sz w:val="22"/>
          <w:szCs w:val="22"/>
        </w:rPr>
        <w:t>funcionamiento …</w:t>
      </w:r>
      <w:proofErr w:type="gramEnd"/>
      <w:r>
        <w:rPr>
          <w:sz w:val="22"/>
          <w:szCs w:val="22"/>
        </w:rPr>
        <w:t xml:space="preserve">…………………………………………….….……. 30 </w:t>
      </w:r>
    </w:p>
    <w:p w:rsidR="00AA37DE" w:rsidRDefault="00AA37DE" w:rsidP="00AA37DE">
      <w:pPr>
        <w:pStyle w:val="Default"/>
        <w:rPr>
          <w:sz w:val="22"/>
          <w:szCs w:val="22"/>
        </w:rPr>
      </w:pPr>
      <w:r>
        <w:rPr>
          <w:sz w:val="22"/>
          <w:szCs w:val="22"/>
        </w:rPr>
        <w:t xml:space="preserve">2.6.1.La FDA: funciones …………………………………………………………………………………………………….………… 30 </w:t>
      </w:r>
    </w:p>
    <w:p w:rsidR="00AA37DE" w:rsidRDefault="00AA37DE" w:rsidP="00AA37DE">
      <w:pPr>
        <w:pStyle w:val="Default"/>
        <w:rPr>
          <w:sz w:val="22"/>
          <w:szCs w:val="22"/>
        </w:rPr>
      </w:pPr>
      <w:r>
        <w:rPr>
          <w:sz w:val="22"/>
          <w:szCs w:val="22"/>
        </w:rPr>
        <w:t xml:space="preserve">2.6.2.Reglamentos para alimentos derivados de vegetales transgénicos …………………………………… 30 </w:t>
      </w:r>
    </w:p>
    <w:p w:rsidR="00AA37DE" w:rsidRDefault="00AA37DE" w:rsidP="00AA37DE">
      <w:pPr>
        <w:pStyle w:val="Default"/>
        <w:rPr>
          <w:sz w:val="22"/>
          <w:szCs w:val="22"/>
        </w:rPr>
      </w:pPr>
      <w:r>
        <w:rPr>
          <w:sz w:val="22"/>
          <w:szCs w:val="22"/>
        </w:rPr>
        <w:t xml:space="preserve">2.6.3.Organismos paralelos a la FDA en la regulación de plantas transgénicas y derivados </w:t>
      </w:r>
      <w:proofErr w:type="gramStart"/>
      <w:r>
        <w:rPr>
          <w:sz w:val="22"/>
          <w:szCs w:val="22"/>
        </w:rPr>
        <w:t>.………..</w:t>
      </w:r>
      <w:proofErr w:type="gramEnd"/>
      <w:r>
        <w:rPr>
          <w:sz w:val="22"/>
          <w:szCs w:val="22"/>
        </w:rPr>
        <w:t xml:space="preserve"> 31 </w:t>
      </w:r>
    </w:p>
    <w:p w:rsidR="00AA37DE" w:rsidRDefault="00AA37DE" w:rsidP="00AA37DE">
      <w:pPr>
        <w:pStyle w:val="Default"/>
        <w:rPr>
          <w:sz w:val="22"/>
          <w:szCs w:val="22"/>
        </w:rPr>
      </w:pPr>
      <w:r>
        <w:rPr>
          <w:sz w:val="22"/>
          <w:szCs w:val="22"/>
        </w:rPr>
        <w:t>2.6.4</w:t>
      </w:r>
      <w:proofErr w:type="gramStart"/>
      <w:r>
        <w:rPr>
          <w:sz w:val="22"/>
          <w:szCs w:val="22"/>
        </w:rPr>
        <w:t>.Reglamentos</w:t>
      </w:r>
      <w:proofErr w:type="gramEnd"/>
      <w:r>
        <w:rPr>
          <w:sz w:val="22"/>
          <w:szCs w:val="22"/>
        </w:rPr>
        <w:t xml:space="preserve"> y posición de la </w:t>
      </w:r>
      <w:proofErr w:type="spellStart"/>
      <w:r>
        <w:rPr>
          <w:sz w:val="22"/>
          <w:szCs w:val="22"/>
        </w:rPr>
        <w:t>FDArespecto</w:t>
      </w:r>
      <w:proofErr w:type="spellEnd"/>
      <w:r>
        <w:rPr>
          <w:sz w:val="22"/>
          <w:szCs w:val="22"/>
        </w:rPr>
        <w:t xml:space="preserve"> a animales modificados genéticamente ……..…. 31 </w:t>
      </w:r>
    </w:p>
    <w:p w:rsidR="00AA37DE" w:rsidRDefault="00AA37DE" w:rsidP="00AA37DE">
      <w:pPr>
        <w:pStyle w:val="Default"/>
        <w:rPr>
          <w:sz w:val="22"/>
          <w:szCs w:val="22"/>
        </w:rPr>
      </w:pPr>
      <w:r>
        <w:rPr>
          <w:sz w:val="22"/>
          <w:szCs w:val="22"/>
        </w:rPr>
        <w:t xml:space="preserve">2.6.5.Actualidad de la FDA: el caso del salmón transgénico …………………………………………………..……. 34 </w:t>
      </w:r>
    </w:p>
    <w:p w:rsidR="00AA37DE" w:rsidRDefault="00AA37DE" w:rsidP="00AA37DE">
      <w:pPr>
        <w:pStyle w:val="Default"/>
        <w:rPr>
          <w:sz w:val="22"/>
          <w:szCs w:val="22"/>
        </w:rPr>
      </w:pPr>
      <w:r>
        <w:rPr>
          <w:sz w:val="22"/>
          <w:szCs w:val="22"/>
        </w:rPr>
        <w:t>2.6.6</w:t>
      </w:r>
      <w:proofErr w:type="gramStart"/>
      <w:r>
        <w:rPr>
          <w:sz w:val="22"/>
          <w:szCs w:val="22"/>
        </w:rPr>
        <w:t>.Conclusiones</w:t>
      </w:r>
      <w:proofErr w:type="gramEnd"/>
      <w:r>
        <w:rPr>
          <w:sz w:val="22"/>
          <w:szCs w:val="22"/>
        </w:rPr>
        <w:t xml:space="preserve"> ………………………………………………………………………………………………………………....….. 36 </w:t>
      </w:r>
    </w:p>
    <w:p w:rsidR="00AA37DE" w:rsidRDefault="00AA37DE" w:rsidP="00AA37DE">
      <w:pPr>
        <w:pStyle w:val="Default"/>
        <w:rPr>
          <w:sz w:val="22"/>
          <w:szCs w:val="22"/>
        </w:rPr>
      </w:pPr>
    </w:p>
    <w:p w:rsidR="00BA12BC" w:rsidRDefault="00BA12BC"/>
    <w:p w:rsidR="00AA37DE" w:rsidRDefault="00AA37DE" w:rsidP="00AA37DE">
      <w:pPr>
        <w:pStyle w:val="Default"/>
        <w:rPr>
          <w:sz w:val="28"/>
          <w:szCs w:val="28"/>
        </w:rPr>
      </w:pPr>
      <w:r>
        <w:rPr>
          <w:b/>
          <w:bCs/>
          <w:sz w:val="28"/>
          <w:szCs w:val="28"/>
        </w:rPr>
        <w:t xml:space="preserve">Lista de abreviaturas relevantes </w:t>
      </w:r>
    </w:p>
    <w:p w:rsidR="00AA37DE" w:rsidRDefault="00AA37DE" w:rsidP="00AA37DE">
      <w:pPr>
        <w:pStyle w:val="Default"/>
        <w:rPr>
          <w:sz w:val="22"/>
          <w:szCs w:val="22"/>
        </w:rPr>
      </w:pPr>
      <w:r>
        <w:rPr>
          <w:sz w:val="22"/>
          <w:szCs w:val="22"/>
        </w:rPr>
        <w:t xml:space="preserve">ADN- Ácido </w:t>
      </w:r>
      <w:proofErr w:type="spellStart"/>
      <w:r>
        <w:rPr>
          <w:sz w:val="22"/>
          <w:szCs w:val="22"/>
        </w:rPr>
        <w:t>desoxiribunocleïco</w:t>
      </w:r>
      <w:proofErr w:type="spellEnd"/>
      <w:r>
        <w:rPr>
          <w:sz w:val="22"/>
          <w:szCs w:val="22"/>
        </w:rPr>
        <w:t xml:space="preserve">, DNA en inglés </w:t>
      </w:r>
    </w:p>
    <w:p w:rsidR="00AA37DE" w:rsidRDefault="00AA37DE" w:rsidP="00AA37DE">
      <w:pPr>
        <w:pStyle w:val="Default"/>
        <w:rPr>
          <w:sz w:val="22"/>
          <w:szCs w:val="22"/>
        </w:rPr>
      </w:pPr>
      <w:r>
        <w:rPr>
          <w:sz w:val="22"/>
          <w:szCs w:val="22"/>
        </w:rPr>
        <w:t xml:space="preserve">APHIS - Animal and </w:t>
      </w:r>
      <w:proofErr w:type="spellStart"/>
      <w:r>
        <w:rPr>
          <w:sz w:val="22"/>
          <w:szCs w:val="22"/>
        </w:rPr>
        <w:t>Plant</w:t>
      </w:r>
      <w:proofErr w:type="spellEnd"/>
      <w:r>
        <w:rPr>
          <w:sz w:val="22"/>
          <w:szCs w:val="22"/>
        </w:rPr>
        <w:t xml:space="preserve"> </w:t>
      </w:r>
      <w:proofErr w:type="spellStart"/>
      <w:r>
        <w:rPr>
          <w:sz w:val="22"/>
          <w:szCs w:val="22"/>
        </w:rPr>
        <w:t>Health</w:t>
      </w:r>
      <w:proofErr w:type="spellEnd"/>
      <w:r>
        <w:rPr>
          <w:sz w:val="22"/>
          <w:szCs w:val="22"/>
        </w:rPr>
        <w:t xml:space="preserve"> </w:t>
      </w:r>
      <w:proofErr w:type="spellStart"/>
      <w:r>
        <w:rPr>
          <w:sz w:val="22"/>
          <w:szCs w:val="22"/>
        </w:rPr>
        <w:t>Inspection</w:t>
      </w:r>
      <w:proofErr w:type="spellEnd"/>
      <w:r>
        <w:rPr>
          <w:sz w:val="22"/>
          <w:szCs w:val="22"/>
        </w:rPr>
        <w:t xml:space="preserve"> </w:t>
      </w:r>
      <w:proofErr w:type="spellStart"/>
      <w:r>
        <w:rPr>
          <w:sz w:val="22"/>
          <w:szCs w:val="22"/>
        </w:rPr>
        <w:t>Service</w:t>
      </w:r>
      <w:proofErr w:type="spellEnd"/>
      <w:r>
        <w:rPr>
          <w:sz w:val="22"/>
          <w:szCs w:val="22"/>
        </w:rPr>
        <w:t xml:space="preserve">, Departamento de sanidad animal y vegetal en español </w:t>
      </w:r>
    </w:p>
    <w:p w:rsidR="00AA37DE" w:rsidRDefault="00AA37DE" w:rsidP="00AA37DE">
      <w:pPr>
        <w:pStyle w:val="Default"/>
        <w:rPr>
          <w:sz w:val="22"/>
          <w:szCs w:val="22"/>
        </w:rPr>
      </w:pPr>
      <w:r>
        <w:rPr>
          <w:sz w:val="22"/>
          <w:szCs w:val="22"/>
        </w:rPr>
        <w:t xml:space="preserve">ARN – Ácido </w:t>
      </w:r>
      <w:proofErr w:type="spellStart"/>
      <w:r>
        <w:rPr>
          <w:sz w:val="22"/>
          <w:szCs w:val="22"/>
        </w:rPr>
        <w:t>Ribunocleico</w:t>
      </w:r>
      <w:proofErr w:type="spellEnd"/>
      <w:r>
        <w:rPr>
          <w:sz w:val="22"/>
          <w:szCs w:val="22"/>
        </w:rPr>
        <w:t xml:space="preserve">, RNA en inglés </w:t>
      </w:r>
    </w:p>
    <w:p w:rsidR="00AA37DE" w:rsidRDefault="00AA37DE" w:rsidP="00AA37DE">
      <w:pPr>
        <w:pStyle w:val="Default"/>
        <w:rPr>
          <w:sz w:val="22"/>
          <w:szCs w:val="22"/>
        </w:rPr>
      </w:pPr>
      <w:r>
        <w:rPr>
          <w:sz w:val="22"/>
          <w:szCs w:val="22"/>
        </w:rPr>
        <w:t xml:space="preserve">AT – Alimento Transgénico </w:t>
      </w:r>
    </w:p>
    <w:p w:rsidR="00AA37DE" w:rsidRDefault="00AA37DE" w:rsidP="00AA37DE">
      <w:pPr>
        <w:pStyle w:val="Default"/>
        <w:rPr>
          <w:sz w:val="22"/>
          <w:szCs w:val="22"/>
        </w:rPr>
      </w:pPr>
      <w:proofErr w:type="spellStart"/>
      <w:r>
        <w:rPr>
          <w:sz w:val="22"/>
          <w:szCs w:val="22"/>
        </w:rPr>
        <w:t>Bt</w:t>
      </w:r>
      <w:proofErr w:type="spellEnd"/>
      <w:r>
        <w:rPr>
          <w:sz w:val="22"/>
          <w:szCs w:val="22"/>
        </w:rPr>
        <w:t xml:space="preserve"> – </w:t>
      </w:r>
      <w:proofErr w:type="spellStart"/>
      <w:r>
        <w:rPr>
          <w:i/>
          <w:iCs/>
          <w:sz w:val="22"/>
          <w:szCs w:val="22"/>
        </w:rPr>
        <w:t>Bacillus</w:t>
      </w:r>
      <w:proofErr w:type="spellEnd"/>
      <w:r>
        <w:rPr>
          <w:i/>
          <w:iCs/>
          <w:sz w:val="22"/>
          <w:szCs w:val="22"/>
        </w:rPr>
        <w:t xml:space="preserve"> </w:t>
      </w:r>
      <w:proofErr w:type="spellStart"/>
      <w:r>
        <w:rPr>
          <w:i/>
          <w:iCs/>
          <w:sz w:val="22"/>
          <w:szCs w:val="22"/>
        </w:rPr>
        <w:t>turgensis</w:t>
      </w:r>
      <w:proofErr w:type="spellEnd"/>
      <w:r>
        <w:rPr>
          <w:i/>
          <w:iCs/>
          <w:sz w:val="22"/>
          <w:szCs w:val="22"/>
        </w:rPr>
        <w:t xml:space="preserve"> </w:t>
      </w:r>
      <w:r>
        <w:rPr>
          <w:sz w:val="22"/>
          <w:szCs w:val="22"/>
        </w:rPr>
        <w:t xml:space="preserve">(hace referencia a la toxina propia de dicha bacteria </w:t>
      </w:r>
    </w:p>
    <w:p w:rsidR="00AA37DE" w:rsidRDefault="00AA37DE" w:rsidP="00AA37DE">
      <w:pPr>
        <w:pStyle w:val="Default"/>
        <w:rPr>
          <w:sz w:val="22"/>
          <w:szCs w:val="22"/>
        </w:rPr>
      </w:pPr>
      <w:r>
        <w:rPr>
          <w:sz w:val="22"/>
          <w:szCs w:val="22"/>
        </w:rPr>
        <w:t xml:space="preserve">CSIC – Consejo Superior de Investigaciones Científicas </w:t>
      </w:r>
    </w:p>
    <w:p w:rsidR="00AA37DE" w:rsidRDefault="00AA37DE" w:rsidP="00AA37DE">
      <w:pPr>
        <w:pStyle w:val="Default"/>
        <w:rPr>
          <w:sz w:val="22"/>
          <w:szCs w:val="22"/>
        </w:rPr>
      </w:pPr>
      <w:r>
        <w:rPr>
          <w:sz w:val="22"/>
          <w:szCs w:val="22"/>
        </w:rPr>
        <w:t xml:space="preserve">EFSA - </w:t>
      </w:r>
      <w:proofErr w:type="spellStart"/>
      <w:r>
        <w:rPr>
          <w:sz w:val="22"/>
          <w:szCs w:val="22"/>
        </w:rPr>
        <w:t>European</w:t>
      </w:r>
      <w:proofErr w:type="spellEnd"/>
      <w:r>
        <w:rPr>
          <w:sz w:val="22"/>
          <w:szCs w:val="22"/>
        </w:rPr>
        <w:t xml:space="preserve"> </w:t>
      </w:r>
      <w:proofErr w:type="spellStart"/>
      <w:r>
        <w:rPr>
          <w:sz w:val="22"/>
          <w:szCs w:val="22"/>
        </w:rPr>
        <w:t>Food</w:t>
      </w:r>
      <w:proofErr w:type="spellEnd"/>
      <w:r>
        <w:rPr>
          <w:sz w:val="22"/>
          <w:szCs w:val="22"/>
        </w:rPr>
        <w:t xml:space="preserve"> Safety </w:t>
      </w:r>
      <w:proofErr w:type="spellStart"/>
      <w:proofErr w:type="gramStart"/>
      <w:r>
        <w:rPr>
          <w:sz w:val="22"/>
          <w:szCs w:val="22"/>
        </w:rPr>
        <w:t>Authority</w:t>
      </w:r>
      <w:proofErr w:type="spellEnd"/>
      <w:r>
        <w:rPr>
          <w:sz w:val="22"/>
          <w:szCs w:val="22"/>
        </w:rPr>
        <w:t xml:space="preserve"> </w:t>
      </w:r>
      <w:r>
        <w:rPr>
          <w:i/>
          <w:iCs/>
          <w:sz w:val="22"/>
          <w:szCs w:val="22"/>
        </w:rPr>
        <w:t>,</w:t>
      </w:r>
      <w:proofErr w:type="gramEnd"/>
      <w:r>
        <w:rPr>
          <w:i/>
          <w:iCs/>
          <w:sz w:val="22"/>
          <w:szCs w:val="22"/>
        </w:rPr>
        <w:t xml:space="preserve"> </w:t>
      </w:r>
      <w:r>
        <w:rPr>
          <w:sz w:val="22"/>
          <w:szCs w:val="22"/>
        </w:rPr>
        <w:t xml:space="preserve">Autoridad Europea de Seguridad Alimentaria en español </w:t>
      </w:r>
    </w:p>
    <w:p w:rsidR="00AA37DE" w:rsidRDefault="00AA37DE" w:rsidP="00AA37DE">
      <w:pPr>
        <w:pStyle w:val="Default"/>
        <w:rPr>
          <w:sz w:val="22"/>
          <w:szCs w:val="22"/>
        </w:rPr>
      </w:pPr>
      <w:r>
        <w:rPr>
          <w:sz w:val="22"/>
          <w:szCs w:val="22"/>
        </w:rPr>
        <w:t xml:space="preserve">EPA - </w:t>
      </w:r>
      <w:proofErr w:type="spellStart"/>
      <w:r>
        <w:rPr>
          <w:sz w:val="22"/>
          <w:szCs w:val="22"/>
        </w:rPr>
        <w:t>Environmental</w:t>
      </w:r>
      <w:proofErr w:type="spellEnd"/>
      <w:r>
        <w:rPr>
          <w:sz w:val="22"/>
          <w:szCs w:val="22"/>
        </w:rPr>
        <w:t xml:space="preserve"> </w:t>
      </w:r>
      <w:proofErr w:type="spellStart"/>
      <w:r>
        <w:rPr>
          <w:sz w:val="22"/>
          <w:szCs w:val="22"/>
        </w:rPr>
        <w:t>Protection</w:t>
      </w:r>
      <w:proofErr w:type="spellEnd"/>
      <w:r>
        <w:rPr>
          <w:sz w:val="22"/>
          <w:szCs w:val="22"/>
        </w:rPr>
        <w:t xml:space="preserve"> Agency, agencia de protección medioambiental de los EEUU en español </w:t>
      </w:r>
    </w:p>
    <w:p w:rsidR="00AA37DE" w:rsidRDefault="00AA37DE" w:rsidP="00AA37DE">
      <w:pPr>
        <w:pStyle w:val="Default"/>
        <w:rPr>
          <w:sz w:val="22"/>
          <w:szCs w:val="22"/>
        </w:rPr>
      </w:pPr>
      <w:r>
        <w:rPr>
          <w:sz w:val="22"/>
          <w:szCs w:val="22"/>
        </w:rPr>
        <w:t xml:space="preserve">FAO - </w:t>
      </w:r>
      <w:proofErr w:type="spellStart"/>
      <w:r>
        <w:rPr>
          <w:sz w:val="22"/>
          <w:szCs w:val="22"/>
        </w:rPr>
        <w:t>Food</w:t>
      </w:r>
      <w:proofErr w:type="spellEnd"/>
      <w:r>
        <w:rPr>
          <w:sz w:val="22"/>
          <w:szCs w:val="22"/>
        </w:rPr>
        <w:t xml:space="preserve"> and </w:t>
      </w:r>
      <w:proofErr w:type="spellStart"/>
      <w:r>
        <w:rPr>
          <w:sz w:val="22"/>
          <w:szCs w:val="22"/>
        </w:rPr>
        <w:t>Agriculture</w:t>
      </w:r>
      <w:proofErr w:type="spellEnd"/>
      <w:r>
        <w:rPr>
          <w:sz w:val="22"/>
          <w:szCs w:val="22"/>
        </w:rPr>
        <w:t xml:space="preserve"> </w:t>
      </w:r>
      <w:proofErr w:type="spellStart"/>
      <w:r>
        <w:rPr>
          <w:sz w:val="22"/>
          <w:szCs w:val="22"/>
        </w:rPr>
        <w:t>Organization</w:t>
      </w:r>
      <w:proofErr w:type="spellEnd"/>
      <w:r>
        <w:rPr>
          <w:sz w:val="22"/>
          <w:szCs w:val="22"/>
        </w:rPr>
        <w:t xml:space="preserve">, organización de las naciones unidas, departamento de agricultura y alimentos en español. </w:t>
      </w:r>
    </w:p>
    <w:p w:rsidR="00AA37DE" w:rsidRDefault="00AA37DE" w:rsidP="00AA37DE">
      <w:pPr>
        <w:pStyle w:val="Default"/>
        <w:rPr>
          <w:sz w:val="22"/>
          <w:szCs w:val="22"/>
        </w:rPr>
      </w:pPr>
      <w:r>
        <w:rPr>
          <w:sz w:val="22"/>
          <w:szCs w:val="22"/>
        </w:rPr>
        <w:t xml:space="preserve">FDA </w:t>
      </w:r>
      <w:r>
        <w:rPr>
          <w:i/>
          <w:iCs/>
          <w:sz w:val="22"/>
          <w:szCs w:val="22"/>
        </w:rPr>
        <w:t xml:space="preserve">- </w:t>
      </w:r>
      <w:proofErr w:type="spellStart"/>
      <w:r>
        <w:rPr>
          <w:sz w:val="22"/>
          <w:szCs w:val="22"/>
        </w:rPr>
        <w:t>Food</w:t>
      </w:r>
      <w:proofErr w:type="spellEnd"/>
      <w:r>
        <w:rPr>
          <w:sz w:val="22"/>
          <w:szCs w:val="22"/>
        </w:rPr>
        <w:t xml:space="preserve"> and </w:t>
      </w:r>
      <w:proofErr w:type="spellStart"/>
      <w:r>
        <w:rPr>
          <w:sz w:val="22"/>
          <w:szCs w:val="22"/>
        </w:rPr>
        <w:t>Drug</w:t>
      </w:r>
      <w:proofErr w:type="spellEnd"/>
      <w:r>
        <w:rPr>
          <w:sz w:val="22"/>
          <w:szCs w:val="22"/>
        </w:rPr>
        <w:t xml:space="preserve"> </w:t>
      </w:r>
      <w:proofErr w:type="spellStart"/>
      <w:r>
        <w:rPr>
          <w:sz w:val="22"/>
          <w:szCs w:val="22"/>
        </w:rPr>
        <w:t>Administration</w:t>
      </w:r>
      <w:proofErr w:type="spellEnd"/>
      <w:r>
        <w:rPr>
          <w:sz w:val="22"/>
          <w:szCs w:val="22"/>
        </w:rPr>
        <w:t xml:space="preserve"> </w:t>
      </w:r>
    </w:p>
    <w:p w:rsidR="00AA37DE" w:rsidRDefault="00AA37DE" w:rsidP="00AA37DE">
      <w:pPr>
        <w:pStyle w:val="Default"/>
        <w:rPr>
          <w:sz w:val="22"/>
          <w:szCs w:val="22"/>
        </w:rPr>
      </w:pPr>
      <w:r>
        <w:rPr>
          <w:sz w:val="22"/>
          <w:szCs w:val="22"/>
        </w:rPr>
        <w:t xml:space="preserve">IRTA – </w:t>
      </w:r>
      <w:proofErr w:type="spellStart"/>
      <w:r>
        <w:rPr>
          <w:sz w:val="22"/>
          <w:szCs w:val="22"/>
        </w:rPr>
        <w:t>Institus</w:t>
      </w:r>
      <w:proofErr w:type="spellEnd"/>
      <w:r>
        <w:rPr>
          <w:sz w:val="22"/>
          <w:szCs w:val="22"/>
        </w:rPr>
        <w:t xml:space="preserve"> de Recerca i Tecnología </w:t>
      </w:r>
      <w:proofErr w:type="spellStart"/>
      <w:r>
        <w:rPr>
          <w:sz w:val="22"/>
          <w:szCs w:val="22"/>
        </w:rPr>
        <w:t>Agroalimentària</w:t>
      </w:r>
      <w:proofErr w:type="spellEnd"/>
      <w:r>
        <w:rPr>
          <w:sz w:val="22"/>
          <w:szCs w:val="22"/>
        </w:rPr>
        <w:t xml:space="preserve"> </w:t>
      </w:r>
    </w:p>
    <w:p w:rsidR="00AA37DE" w:rsidRDefault="00AA37DE" w:rsidP="00AA37DE">
      <w:pPr>
        <w:pStyle w:val="Default"/>
        <w:rPr>
          <w:sz w:val="22"/>
          <w:szCs w:val="22"/>
        </w:rPr>
      </w:pPr>
      <w:r>
        <w:rPr>
          <w:sz w:val="22"/>
          <w:szCs w:val="22"/>
        </w:rPr>
        <w:t xml:space="preserve">ISAAA- </w:t>
      </w:r>
      <w:proofErr w:type="spellStart"/>
      <w:r>
        <w:rPr>
          <w:sz w:val="22"/>
          <w:szCs w:val="22"/>
        </w:rPr>
        <w:t>The</w:t>
      </w:r>
      <w:proofErr w:type="spellEnd"/>
      <w:r>
        <w:rPr>
          <w:sz w:val="22"/>
          <w:szCs w:val="22"/>
        </w:rPr>
        <w:t xml:space="preserve"> International </w:t>
      </w:r>
      <w:proofErr w:type="spellStart"/>
      <w:r>
        <w:rPr>
          <w:sz w:val="22"/>
          <w:szCs w:val="22"/>
        </w:rPr>
        <w:t>Service</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Acquisition</w:t>
      </w:r>
      <w:proofErr w:type="spellEnd"/>
      <w:r>
        <w:rPr>
          <w:sz w:val="22"/>
          <w:szCs w:val="22"/>
        </w:rPr>
        <w:t xml:space="preserve"> of </w:t>
      </w:r>
      <w:proofErr w:type="spellStart"/>
      <w:r>
        <w:rPr>
          <w:sz w:val="22"/>
          <w:szCs w:val="22"/>
        </w:rPr>
        <w:t>Agri-biotech</w:t>
      </w:r>
      <w:proofErr w:type="spellEnd"/>
      <w:r>
        <w:rPr>
          <w:sz w:val="22"/>
          <w:szCs w:val="22"/>
        </w:rPr>
        <w:t xml:space="preserve"> </w:t>
      </w:r>
      <w:proofErr w:type="spellStart"/>
      <w:r>
        <w:rPr>
          <w:sz w:val="22"/>
          <w:szCs w:val="22"/>
        </w:rPr>
        <w:t>Applications</w:t>
      </w:r>
      <w:proofErr w:type="spellEnd"/>
      <w:r>
        <w:rPr>
          <w:sz w:val="22"/>
          <w:szCs w:val="22"/>
        </w:rPr>
        <w:t xml:space="preserve">, </w:t>
      </w:r>
      <w:proofErr w:type="spellStart"/>
      <w:r>
        <w:rPr>
          <w:sz w:val="22"/>
          <w:szCs w:val="22"/>
        </w:rPr>
        <w:t>Servicion</w:t>
      </w:r>
      <w:proofErr w:type="spellEnd"/>
      <w:r>
        <w:rPr>
          <w:sz w:val="22"/>
          <w:szCs w:val="22"/>
        </w:rPr>
        <w:t xml:space="preserve"> internacional para la adquisición de aplicaciones de </w:t>
      </w:r>
      <w:proofErr w:type="spellStart"/>
      <w:r>
        <w:rPr>
          <w:sz w:val="22"/>
          <w:szCs w:val="22"/>
        </w:rPr>
        <w:t>tecnologia</w:t>
      </w:r>
      <w:proofErr w:type="spellEnd"/>
      <w:r>
        <w:rPr>
          <w:sz w:val="22"/>
          <w:szCs w:val="22"/>
        </w:rPr>
        <w:t xml:space="preserve"> agraria </w:t>
      </w:r>
    </w:p>
    <w:p w:rsidR="00AA37DE" w:rsidRDefault="00AA37DE" w:rsidP="00AA37DE">
      <w:pPr>
        <w:pStyle w:val="Default"/>
        <w:rPr>
          <w:sz w:val="22"/>
          <w:szCs w:val="22"/>
        </w:rPr>
      </w:pPr>
      <w:r>
        <w:rPr>
          <w:sz w:val="22"/>
          <w:szCs w:val="22"/>
        </w:rPr>
        <w:t xml:space="preserve">MG – Modificado Genéticamente, GM en inglés </w:t>
      </w:r>
    </w:p>
    <w:p w:rsidR="00AA37DE" w:rsidRDefault="00AA37DE" w:rsidP="00AA37DE">
      <w:pPr>
        <w:pStyle w:val="Default"/>
        <w:rPr>
          <w:sz w:val="22"/>
          <w:szCs w:val="22"/>
        </w:rPr>
      </w:pPr>
      <w:r>
        <w:rPr>
          <w:sz w:val="22"/>
          <w:szCs w:val="22"/>
        </w:rPr>
        <w:t xml:space="preserve">NEPA - </w:t>
      </w:r>
      <w:proofErr w:type="spellStart"/>
      <w:r>
        <w:rPr>
          <w:sz w:val="22"/>
          <w:szCs w:val="22"/>
        </w:rPr>
        <w:t>National</w:t>
      </w:r>
      <w:proofErr w:type="spellEnd"/>
      <w:r>
        <w:rPr>
          <w:sz w:val="22"/>
          <w:szCs w:val="22"/>
        </w:rPr>
        <w:t xml:space="preserve"> </w:t>
      </w:r>
      <w:proofErr w:type="spellStart"/>
      <w:r>
        <w:rPr>
          <w:sz w:val="22"/>
          <w:szCs w:val="22"/>
        </w:rPr>
        <w:t>Environmental</w:t>
      </w:r>
      <w:proofErr w:type="spellEnd"/>
      <w:r>
        <w:rPr>
          <w:sz w:val="22"/>
          <w:szCs w:val="22"/>
        </w:rPr>
        <w:t xml:space="preserve"> </w:t>
      </w:r>
      <w:proofErr w:type="spellStart"/>
      <w:r>
        <w:rPr>
          <w:sz w:val="22"/>
          <w:szCs w:val="22"/>
        </w:rPr>
        <w:t>Policy</w:t>
      </w:r>
      <w:proofErr w:type="spellEnd"/>
      <w:r>
        <w:rPr>
          <w:sz w:val="22"/>
          <w:szCs w:val="22"/>
        </w:rPr>
        <w:t xml:space="preserve"> </w:t>
      </w:r>
      <w:proofErr w:type="spellStart"/>
      <w:r>
        <w:rPr>
          <w:sz w:val="22"/>
          <w:szCs w:val="22"/>
        </w:rPr>
        <w:t>Act</w:t>
      </w:r>
      <w:proofErr w:type="spellEnd"/>
      <w:r>
        <w:rPr>
          <w:sz w:val="22"/>
          <w:szCs w:val="22"/>
        </w:rPr>
        <w:t xml:space="preserve">, Ley reguladora nacional del medioambiente en español </w:t>
      </w:r>
    </w:p>
    <w:p w:rsidR="00AA37DE" w:rsidRDefault="00AA37DE" w:rsidP="00AA37DE">
      <w:pPr>
        <w:pStyle w:val="Default"/>
        <w:rPr>
          <w:sz w:val="22"/>
          <w:szCs w:val="22"/>
        </w:rPr>
      </w:pPr>
      <w:r>
        <w:rPr>
          <w:sz w:val="22"/>
          <w:szCs w:val="22"/>
        </w:rPr>
        <w:t xml:space="preserve">OMG- Organismo Modificado Genéticamente, GMO en inglés </w:t>
      </w:r>
    </w:p>
    <w:p w:rsidR="00AA37DE" w:rsidRDefault="00AA37DE" w:rsidP="00AA37DE">
      <w:pPr>
        <w:pStyle w:val="Default"/>
        <w:rPr>
          <w:sz w:val="22"/>
          <w:szCs w:val="22"/>
        </w:rPr>
      </w:pPr>
      <w:r>
        <w:rPr>
          <w:sz w:val="22"/>
          <w:szCs w:val="22"/>
        </w:rPr>
        <w:t xml:space="preserve">OMS – Organización mundial de la salud </w:t>
      </w:r>
    </w:p>
    <w:p w:rsidR="00AA37DE" w:rsidRDefault="00AA37DE" w:rsidP="00AA37DE">
      <w:pPr>
        <w:pStyle w:val="Default"/>
        <w:rPr>
          <w:sz w:val="22"/>
          <w:szCs w:val="22"/>
        </w:rPr>
      </w:pPr>
      <w:r>
        <w:rPr>
          <w:sz w:val="22"/>
          <w:szCs w:val="22"/>
        </w:rPr>
        <w:t xml:space="preserve">PIP - protector para plantas incorporado </w:t>
      </w:r>
    </w:p>
    <w:p w:rsidR="00AA37DE" w:rsidRDefault="00AA37DE" w:rsidP="00AA37DE">
      <w:pPr>
        <w:pStyle w:val="Default"/>
        <w:rPr>
          <w:sz w:val="22"/>
          <w:szCs w:val="22"/>
        </w:rPr>
      </w:pPr>
      <w:r>
        <w:rPr>
          <w:sz w:val="22"/>
          <w:szCs w:val="22"/>
        </w:rPr>
        <w:t xml:space="preserve">UE- Unión europea, EU, </w:t>
      </w:r>
      <w:proofErr w:type="spellStart"/>
      <w:r>
        <w:rPr>
          <w:sz w:val="22"/>
          <w:szCs w:val="22"/>
        </w:rPr>
        <w:t>European</w:t>
      </w:r>
      <w:proofErr w:type="spellEnd"/>
      <w:r>
        <w:rPr>
          <w:sz w:val="22"/>
          <w:szCs w:val="22"/>
        </w:rPr>
        <w:t xml:space="preserve"> </w:t>
      </w:r>
      <w:proofErr w:type="spellStart"/>
      <w:r>
        <w:rPr>
          <w:sz w:val="22"/>
          <w:szCs w:val="22"/>
        </w:rPr>
        <w:t>Union</w:t>
      </w:r>
      <w:proofErr w:type="spellEnd"/>
      <w:r>
        <w:rPr>
          <w:sz w:val="22"/>
          <w:szCs w:val="22"/>
        </w:rPr>
        <w:t xml:space="preserve"> en inglés </w:t>
      </w:r>
    </w:p>
    <w:p w:rsidR="00AA37DE" w:rsidRDefault="00AA37DE" w:rsidP="00AA37DE">
      <w:r>
        <w:t xml:space="preserve">USDA - U.S. </w:t>
      </w:r>
      <w:proofErr w:type="spellStart"/>
      <w:r>
        <w:t>Department</w:t>
      </w:r>
      <w:proofErr w:type="spellEnd"/>
      <w:r>
        <w:t xml:space="preserve"> of </w:t>
      </w:r>
      <w:proofErr w:type="spellStart"/>
      <w:r>
        <w:t>Agriculture</w:t>
      </w:r>
      <w:proofErr w:type="spellEnd"/>
      <w:r>
        <w:t>, Departamento de Agricultura de EE.UU. en español</w:t>
      </w:r>
    </w:p>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 w:rsidR="00AA37DE" w:rsidRDefault="00AA37DE" w:rsidP="00AA37DE">
      <w:pPr>
        <w:pStyle w:val="Default"/>
      </w:pPr>
    </w:p>
    <w:p w:rsidR="00AA37DE" w:rsidRDefault="00AA37DE" w:rsidP="00AA37DE">
      <w:pPr>
        <w:pStyle w:val="Default"/>
        <w:rPr>
          <w:sz w:val="28"/>
          <w:szCs w:val="28"/>
        </w:rPr>
      </w:pPr>
      <w:r>
        <w:rPr>
          <w:b/>
          <w:bCs/>
          <w:sz w:val="28"/>
          <w:szCs w:val="28"/>
        </w:rPr>
        <w:t xml:space="preserve">2. Organismos científicos evaluadores: seguridad alimentaria y medioambiental. </w:t>
      </w:r>
    </w:p>
    <w:p w:rsidR="00AA37DE" w:rsidRDefault="00AA37DE" w:rsidP="00AA37DE">
      <w:pPr>
        <w:pStyle w:val="Default"/>
        <w:rPr>
          <w:sz w:val="28"/>
          <w:szCs w:val="28"/>
        </w:rPr>
      </w:pPr>
    </w:p>
    <w:p w:rsidR="00AA37DE" w:rsidRDefault="00AA37DE" w:rsidP="00AA37DE">
      <w:pPr>
        <w:pStyle w:val="Default"/>
        <w:rPr>
          <w:sz w:val="23"/>
          <w:szCs w:val="23"/>
        </w:rPr>
      </w:pPr>
      <w:r>
        <w:rPr>
          <w:b/>
          <w:bCs/>
          <w:sz w:val="23"/>
          <w:szCs w:val="23"/>
        </w:rPr>
        <w:t xml:space="preserve">2.1. EFSA: qué es y como desarrolla sus actividades </w:t>
      </w:r>
    </w:p>
    <w:p w:rsidR="00AA37DE" w:rsidRDefault="00AA37DE" w:rsidP="00AA37DE">
      <w:pPr>
        <w:pStyle w:val="Default"/>
        <w:rPr>
          <w:sz w:val="22"/>
          <w:szCs w:val="22"/>
        </w:rPr>
      </w:pPr>
      <w:r>
        <w:rPr>
          <w:sz w:val="22"/>
          <w:szCs w:val="22"/>
        </w:rPr>
        <w:t>La EFSA (</w:t>
      </w:r>
      <w:proofErr w:type="spellStart"/>
      <w:r>
        <w:rPr>
          <w:sz w:val="22"/>
          <w:szCs w:val="22"/>
        </w:rPr>
        <w:t>EuropeanFood</w:t>
      </w:r>
      <w:proofErr w:type="spellEnd"/>
      <w:r>
        <w:rPr>
          <w:sz w:val="22"/>
          <w:szCs w:val="22"/>
        </w:rPr>
        <w:t xml:space="preserve"> Safety </w:t>
      </w:r>
      <w:proofErr w:type="spellStart"/>
      <w:r>
        <w:rPr>
          <w:sz w:val="22"/>
          <w:szCs w:val="22"/>
        </w:rPr>
        <w:t>Authority</w:t>
      </w:r>
      <w:proofErr w:type="spellEnd"/>
      <w:r>
        <w:rPr>
          <w:sz w:val="22"/>
          <w:szCs w:val="22"/>
        </w:rPr>
        <w:t xml:space="preserve">) es el organismo europeo encargado de garantizar la seguridad de los alimentos consumidos en Europa. Dentro de la EFSA hay diferentes "paneles" o grupos que trabajan según la temática. Una de estas temáticas es la de los GMO (Organismos genéticamente </w:t>
      </w:r>
      <w:proofErr w:type="spellStart"/>
      <w:r>
        <w:rPr>
          <w:sz w:val="22"/>
          <w:szCs w:val="22"/>
        </w:rPr>
        <w:t>modificdos</w:t>
      </w:r>
      <w:proofErr w:type="spellEnd"/>
      <w:r>
        <w:rPr>
          <w:sz w:val="22"/>
          <w:szCs w:val="22"/>
        </w:rPr>
        <w:t>). La función del "GMO panel" de la EFSA es la de asesorar de forma independiente y evaluar tanto organismos modificados genéticamente (plantas y animales) como garantizar su viabilidad como alimento para humanos (</w:t>
      </w:r>
      <w:proofErr w:type="spellStart"/>
      <w:r>
        <w:rPr>
          <w:sz w:val="22"/>
          <w:szCs w:val="22"/>
        </w:rPr>
        <w:t>food</w:t>
      </w:r>
      <w:proofErr w:type="spellEnd"/>
      <w:r>
        <w:rPr>
          <w:sz w:val="22"/>
          <w:szCs w:val="22"/>
        </w:rPr>
        <w:t>) y animales (</w:t>
      </w:r>
      <w:proofErr w:type="spellStart"/>
      <w:r>
        <w:rPr>
          <w:sz w:val="22"/>
          <w:szCs w:val="22"/>
        </w:rPr>
        <w:t>feed</w:t>
      </w:r>
      <w:proofErr w:type="spellEnd"/>
      <w:r>
        <w:rPr>
          <w:sz w:val="22"/>
          <w:szCs w:val="22"/>
        </w:rPr>
        <w:t xml:space="preserve">). </w:t>
      </w:r>
    </w:p>
    <w:p w:rsidR="00AA37DE" w:rsidRDefault="00AA37DE" w:rsidP="00AA37DE">
      <w:pPr>
        <w:pStyle w:val="Default"/>
        <w:rPr>
          <w:sz w:val="22"/>
          <w:szCs w:val="22"/>
        </w:rPr>
      </w:pPr>
      <w:r>
        <w:rPr>
          <w:sz w:val="22"/>
          <w:szCs w:val="22"/>
        </w:rPr>
        <w:t xml:space="preserve">Lo que hace la EFSA es evaluar el riesgo de los GMO y dar opiniones al respecto. Así pues, las empresas que soliciten la comercialización de sus productos en la UE, de acuerdo con la legislación europea, un comité científico independiente deberá efectuar un análisis de riesgos y evaluar así la seguridad del GMO en cuestión. Todo producto transgénico debe ser evaluado previamente por la EFSA antes de ser sometido a una decisión del consejo europeo. </w:t>
      </w:r>
    </w:p>
    <w:p w:rsidR="00AA37DE" w:rsidRDefault="00AA37DE" w:rsidP="00AA37DE">
      <w:pPr>
        <w:pStyle w:val="Default"/>
        <w:rPr>
          <w:sz w:val="22"/>
          <w:szCs w:val="22"/>
        </w:rPr>
      </w:pPr>
      <w:r>
        <w:rPr>
          <w:sz w:val="22"/>
          <w:szCs w:val="22"/>
        </w:rPr>
        <w:t xml:space="preserve">El "panel" o Grupo </w:t>
      </w:r>
      <w:proofErr w:type="gramStart"/>
      <w:r>
        <w:rPr>
          <w:sz w:val="22"/>
          <w:szCs w:val="22"/>
        </w:rPr>
        <w:t>lleva</w:t>
      </w:r>
      <w:proofErr w:type="gramEnd"/>
      <w:r>
        <w:rPr>
          <w:sz w:val="22"/>
          <w:szCs w:val="22"/>
        </w:rPr>
        <w:t xml:space="preserve"> a cabo su trabajo, ya sea en respuesta a las peticiones de asesoramiento científico de gestión de riesgos o bien por iniciativa propia. A menudo crea grupos de trabajo en los que participan científicos externos con experiencia sobre el tema para centrarse en asuntos concretos y ayudar a emitir los informes científicos. El mismo Grupo se reúne regularmente en sesiones plenarias para examinar las tareas en curso y las finalizadas. Cada resultado es consecuencia de todas las opiniones de los miembros del panel. Todas las opiniones tienen el mismo peso. </w:t>
      </w:r>
    </w:p>
    <w:p w:rsidR="00AA37DE" w:rsidRDefault="00AA37DE" w:rsidP="00AA37DE">
      <w:pPr>
        <w:pStyle w:val="Default"/>
        <w:rPr>
          <w:sz w:val="22"/>
          <w:szCs w:val="22"/>
        </w:rPr>
      </w:pPr>
      <w:r>
        <w:rPr>
          <w:sz w:val="22"/>
          <w:szCs w:val="22"/>
        </w:rPr>
        <w:t>De vez en cuando la EFSA emite comunicados donde explican las líneas de trabajo que están siguiendo. Estos "</w:t>
      </w:r>
      <w:proofErr w:type="spellStart"/>
      <w:r>
        <w:rPr>
          <w:sz w:val="22"/>
          <w:szCs w:val="22"/>
        </w:rPr>
        <w:t>guidance</w:t>
      </w:r>
      <w:proofErr w:type="spellEnd"/>
      <w:r>
        <w:rPr>
          <w:sz w:val="22"/>
          <w:szCs w:val="22"/>
        </w:rPr>
        <w:t xml:space="preserve"> documentos" sirven para garantizar transparencia y al mismo tiempo para encaminar a las empresas que quieran pedir de comercializar sus productos en la UE. El último documento guía que se ha aprobado hace referencia a los animales transgénicos. </w:t>
      </w:r>
      <w:r w:rsidRPr="00AA37DE">
        <w:rPr>
          <w:sz w:val="22"/>
          <w:szCs w:val="22"/>
          <w:lang w:val="en-US"/>
        </w:rPr>
        <w:t xml:space="preserve">Este guidance </w:t>
      </w:r>
      <w:proofErr w:type="spellStart"/>
      <w:r w:rsidRPr="00AA37DE">
        <w:rPr>
          <w:sz w:val="22"/>
          <w:szCs w:val="22"/>
          <w:lang w:val="en-US"/>
        </w:rPr>
        <w:t>documento</w:t>
      </w:r>
      <w:proofErr w:type="spellEnd"/>
      <w:r w:rsidRPr="00AA37DE">
        <w:rPr>
          <w:sz w:val="22"/>
          <w:szCs w:val="22"/>
          <w:lang w:val="en-US"/>
        </w:rPr>
        <w:t xml:space="preserve"> se </w:t>
      </w:r>
      <w:proofErr w:type="spellStart"/>
      <w:r w:rsidRPr="00AA37DE">
        <w:rPr>
          <w:sz w:val="22"/>
          <w:szCs w:val="22"/>
          <w:lang w:val="en-US"/>
        </w:rPr>
        <w:t>denomina</w:t>
      </w:r>
      <w:proofErr w:type="spellEnd"/>
      <w:r w:rsidRPr="00AA37DE">
        <w:rPr>
          <w:sz w:val="22"/>
          <w:szCs w:val="22"/>
          <w:lang w:val="en-US"/>
        </w:rPr>
        <w:t xml:space="preserve">: Guidance on the risk assessment of food and feed from genetically modified animals and on animal health and welfare aspects. </w:t>
      </w:r>
      <w:r>
        <w:rPr>
          <w:sz w:val="22"/>
          <w:szCs w:val="22"/>
        </w:rPr>
        <w:t xml:space="preserve">Publicada el 26 de enero 2012. Es el primer documento de este estilo que se aprueba sobre este tema, lo que demuestra que la EFSA va evolucionando y abre las puertas a posibles animales MG, aunque parece que para ver aprobado un animal transgénico en la UE aún queda mucho de recorrido. (1) </w:t>
      </w:r>
    </w:p>
    <w:p w:rsidR="00AA37DE" w:rsidRDefault="00AA37DE" w:rsidP="00AA37DE">
      <w:r>
        <w:t>Tras la publicación de un "</w:t>
      </w:r>
      <w:proofErr w:type="spellStart"/>
      <w:r>
        <w:t>Guidance</w:t>
      </w:r>
      <w:proofErr w:type="spellEnd"/>
      <w:r>
        <w:t xml:space="preserve"> documento", la EFSA abre un periodo donde se pueden hacer comentarios, propuestas de mejora y los interesados pueden opinar. Estas "alegaciones" provienen de empresas, universidades, ONG, asociaciones diversas, organismos de asesoramiento nacional o individual, etc. La EFSA considera los comentarios y publica una "</w:t>
      </w:r>
      <w:proofErr w:type="spellStart"/>
      <w:r>
        <w:t>Guidance</w:t>
      </w:r>
      <w:proofErr w:type="spellEnd"/>
      <w:r>
        <w:t>" final con todas las aportaciones que haya creído oportunas</w:t>
      </w:r>
      <w:proofErr w:type="gramStart"/>
      <w:r>
        <w:t>.(</w:t>
      </w:r>
      <w:proofErr w:type="gramEnd"/>
      <w:r>
        <w:t>2)</w:t>
      </w:r>
    </w:p>
    <w:p w:rsidR="00AA37DE" w:rsidRDefault="00AA37DE" w:rsidP="00AA37DE"/>
    <w:p w:rsidR="00AA37DE" w:rsidRPr="00AA37DE" w:rsidRDefault="00AA37DE" w:rsidP="00AA37DE">
      <w:pPr>
        <w:pStyle w:val="Default"/>
        <w:rPr>
          <w:sz w:val="22"/>
          <w:szCs w:val="22"/>
        </w:rPr>
      </w:pPr>
      <w:r w:rsidRPr="00AA37DE">
        <w:rPr>
          <w:sz w:val="22"/>
          <w:szCs w:val="22"/>
        </w:rPr>
        <w:t>Hay siete</w:t>
      </w:r>
      <w:r w:rsidRPr="00AA37DE">
        <w:rPr>
          <w:sz w:val="22"/>
          <w:szCs w:val="22"/>
        </w:rPr>
        <w:t xml:space="preserve"> </w:t>
      </w:r>
      <w:r w:rsidRPr="00AA37DE">
        <w:rPr>
          <w:sz w:val="22"/>
          <w:szCs w:val="22"/>
        </w:rPr>
        <w:t>documentos de orientación</w:t>
      </w:r>
      <w:r w:rsidRPr="00AA37DE">
        <w:rPr>
          <w:sz w:val="22"/>
          <w:szCs w:val="22"/>
        </w:rPr>
        <w:t xml:space="preserve"> </w:t>
      </w:r>
      <w:r w:rsidRPr="00AA37DE">
        <w:rPr>
          <w:sz w:val="22"/>
          <w:szCs w:val="22"/>
        </w:rPr>
        <w:t xml:space="preserve">principales: </w:t>
      </w:r>
    </w:p>
    <w:p w:rsidR="00AA37DE" w:rsidRPr="00AA37DE" w:rsidRDefault="00AA37DE" w:rsidP="00AA37DE">
      <w:pPr>
        <w:pStyle w:val="Default"/>
        <w:rPr>
          <w:sz w:val="22"/>
          <w:szCs w:val="22"/>
          <w:lang w:val="en-US"/>
        </w:rPr>
      </w:pPr>
      <w:r w:rsidRPr="00AA37DE">
        <w:rPr>
          <w:sz w:val="22"/>
          <w:szCs w:val="22"/>
          <w:lang w:val="en-US"/>
        </w:rPr>
        <w:t xml:space="preserve">•Risk assessment of food and feed from GM plants (2011) </w:t>
      </w:r>
    </w:p>
    <w:p w:rsidR="00AA37DE" w:rsidRPr="00AA37DE" w:rsidRDefault="00AA37DE" w:rsidP="00AA37DE">
      <w:pPr>
        <w:pStyle w:val="Default"/>
        <w:rPr>
          <w:sz w:val="22"/>
          <w:szCs w:val="22"/>
          <w:lang w:val="en-US"/>
        </w:rPr>
      </w:pPr>
      <w:r w:rsidRPr="00AA37DE">
        <w:rPr>
          <w:sz w:val="22"/>
          <w:szCs w:val="22"/>
          <w:lang w:val="en-US"/>
        </w:rPr>
        <w:t xml:space="preserve">•Environmental risk assessment of GM plants (2010) </w:t>
      </w:r>
    </w:p>
    <w:p w:rsidR="00AA37DE" w:rsidRPr="00AA37DE" w:rsidRDefault="00AA37DE" w:rsidP="00AA37DE">
      <w:pPr>
        <w:pStyle w:val="Default"/>
        <w:rPr>
          <w:sz w:val="22"/>
          <w:szCs w:val="22"/>
          <w:lang w:val="en-US"/>
        </w:rPr>
      </w:pPr>
      <w:r w:rsidRPr="00AA37DE">
        <w:rPr>
          <w:sz w:val="22"/>
          <w:szCs w:val="22"/>
          <w:lang w:val="en-US"/>
        </w:rPr>
        <w:t xml:space="preserve">•Guidance on the submission of applications for </w:t>
      </w:r>
      <w:proofErr w:type="spellStart"/>
      <w:r w:rsidRPr="00AA37DE">
        <w:rPr>
          <w:sz w:val="22"/>
          <w:szCs w:val="22"/>
          <w:lang w:val="en-US"/>
        </w:rPr>
        <w:t>authorisation</w:t>
      </w:r>
      <w:proofErr w:type="spellEnd"/>
      <w:r w:rsidRPr="00AA37DE">
        <w:rPr>
          <w:sz w:val="22"/>
          <w:szCs w:val="22"/>
          <w:lang w:val="en-US"/>
        </w:rPr>
        <w:t xml:space="preserve"> of GM food and feed and GM plants for food and feed (2011) </w:t>
      </w:r>
    </w:p>
    <w:p w:rsidR="00AA37DE" w:rsidRPr="00AA37DE" w:rsidRDefault="00AA37DE" w:rsidP="00AA37DE">
      <w:pPr>
        <w:pStyle w:val="Default"/>
        <w:rPr>
          <w:sz w:val="22"/>
          <w:szCs w:val="22"/>
          <w:lang w:val="en-US"/>
        </w:rPr>
      </w:pPr>
      <w:r w:rsidRPr="00AA37DE">
        <w:rPr>
          <w:sz w:val="22"/>
          <w:szCs w:val="22"/>
          <w:lang w:val="en-US"/>
        </w:rPr>
        <w:t xml:space="preserve">•Risk assessment of GM microorganisms and their products intended for food and feed use (2011) </w:t>
      </w:r>
    </w:p>
    <w:p w:rsidR="00AA37DE" w:rsidRPr="00AA37DE" w:rsidRDefault="00AA37DE" w:rsidP="00AA37DE">
      <w:pPr>
        <w:pStyle w:val="Default"/>
        <w:rPr>
          <w:sz w:val="22"/>
          <w:szCs w:val="22"/>
          <w:lang w:val="en-US"/>
        </w:rPr>
      </w:pPr>
      <w:r w:rsidRPr="00AA37DE">
        <w:rPr>
          <w:sz w:val="22"/>
          <w:szCs w:val="22"/>
          <w:lang w:val="en-US"/>
        </w:rPr>
        <w:t xml:space="preserve">•Risk assessment of GM plants used for non-food or non-feed purposes (2009) </w:t>
      </w:r>
    </w:p>
    <w:p w:rsidR="00AA37DE" w:rsidRPr="00AA37DE" w:rsidRDefault="00AA37DE" w:rsidP="00AA37DE">
      <w:pPr>
        <w:pStyle w:val="Default"/>
        <w:rPr>
          <w:sz w:val="22"/>
          <w:szCs w:val="22"/>
          <w:lang w:val="en-US"/>
        </w:rPr>
      </w:pPr>
      <w:r w:rsidRPr="00AA37DE">
        <w:rPr>
          <w:sz w:val="22"/>
          <w:szCs w:val="22"/>
          <w:lang w:val="en-US"/>
        </w:rPr>
        <w:t xml:space="preserve">•Renewal of </w:t>
      </w:r>
      <w:proofErr w:type="spellStart"/>
      <w:r w:rsidRPr="00AA37DE">
        <w:rPr>
          <w:sz w:val="22"/>
          <w:szCs w:val="22"/>
          <w:lang w:val="en-US"/>
        </w:rPr>
        <w:t>authorisations</w:t>
      </w:r>
      <w:proofErr w:type="spellEnd"/>
      <w:r w:rsidRPr="00AA37DE">
        <w:rPr>
          <w:sz w:val="22"/>
          <w:szCs w:val="22"/>
          <w:lang w:val="en-US"/>
        </w:rPr>
        <w:t xml:space="preserve"> of existing GMO products (2006) </w:t>
      </w:r>
    </w:p>
    <w:p w:rsidR="00AA37DE" w:rsidRPr="00AA37DE" w:rsidRDefault="00AA37DE" w:rsidP="00AA37DE">
      <w:pPr>
        <w:pStyle w:val="Default"/>
        <w:rPr>
          <w:sz w:val="22"/>
          <w:szCs w:val="22"/>
          <w:lang w:val="en-US"/>
        </w:rPr>
      </w:pPr>
      <w:r w:rsidRPr="00AA37DE">
        <w:rPr>
          <w:sz w:val="22"/>
          <w:szCs w:val="22"/>
          <w:lang w:val="en-US"/>
        </w:rPr>
        <w:t xml:space="preserve">•Risk assessment of food and feed from GM animals and on animal health and welfare aspects (2012) </w:t>
      </w:r>
    </w:p>
    <w:p w:rsidR="00AA37DE" w:rsidRDefault="00AA37DE" w:rsidP="00AA37DE">
      <w:pPr>
        <w:pStyle w:val="Default"/>
        <w:rPr>
          <w:sz w:val="22"/>
          <w:szCs w:val="22"/>
        </w:rPr>
      </w:pPr>
      <w:r>
        <w:rPr>
          <w:sz w:val="22"/>
          <w:szCs w:val="22"/>
        </w:rPr>
        <w:t xml:space="preserve">Los dos primeros documentos son una recopilación de toda la información pertinente de los documentos anteriores de la EFSA sobre los diferentes aspectos de la evaluación de riesgos de los OMG. Proporcionan una visión general de los principios y requisitos de datos para la alimentación y evaluación del riesgo ambiental, respectivamente. El tercer documento </w:t>
      </w:r>
      <w:r>
        <w:rPr>
          <w:sz w:val="22"/>
          <w:szCs w:val="22"/>
        </w:rPr>
        <w:t>–</w:t>
      </w:r>
      <w:r>
        <w:rPr>
          <w:sz w:val="22"/>
          <w:szCs w:val="22"/>
        </w:rPr>
        <w:t xml:space="preserve"> </w:t>
      </w:r>
      <w:proofErr w:type="spellStart"/>
      <w:r>
        <w:rPr>
          <w:i/>
          <w:iCs/>
          <w:sz w:val="22"/>
          <w:szCs w:val="22"/>
        </w:rPr>
        <w:t>Guidanceon</w:t>
      </w:r>
      <w:proofErr w:type="spellEnd"/>
      <w:r>
        <w:rPr>
          <w:i/>
          <w:iCs/>
          <w:sz w:val="22"/>
          <w:szCs w:val="22"/>
        </w:rPr>
        <w:t xml:space="preserve"> </w:t>
      </w:r>
      <w:proofErr w:type="spellStart"/>
      <w:r>
        <w:rPr>
          <w:i/>
          <w:iCs/>
          <w:sz w:val="22"/>
          <w:szCs w:val="22"/>
        </w:rPr>
        <w:t>the</w:t>
      </w:r>
      <w:proofErr w:type="spellEnd"/>
      <w:r>
        <w:rPr>
          <w:i/>
          <w:iCs/>
          <w:sz w:val="22"/>
          <w:szCs w:val="22"/>
        </w:rPr>
        <w:t xml:space="preserve"> </w:t>
      </w:r>
      <w:proofErr w:type="spellStart"/>
      <w:r>
        <w:rPr>
          <w:i/>
          <w:iCs/>
          <w:sz w:val="22"/>
          <w:szCs w:val="22"/>
        </w:rPr>
        <w:t>submission</w:t>
      </w:r>
      <w:proofErr w:type="spellEnd"/>
      <w:r>
        <w:rPr>
          <w:sz w:val="22"/>
          <w:szCs w:val="22"/>
        </w:rPr>
        <w:t xml:space="preserve">- proporciona instrucciones para los solicitantes sobre cómo preparar y presentar los datos en una aplicación que se presentará a la EFSA. </w:t>
      </w:r>
    </w:p>
    <w:p w:rsidR="00AA37DE" w:rsidRDefault="00AA37DE" w:rsidP="00AA37DE">
      <w:pPr>
        <w:pStyle w:val="Default"/>
        <w:rPr>
          <w:sz w:val="22"/>
          <w:szCs w:val="22"/>
        </w:rPr>
      </w:pPr>
      <w:r>
        <w:rPr>
          <w:sz w:val="22"/>
          <w:szCs w:val="22"/>
        </w:rPr>
        <w:t xml:space="preserve">Además, el Grupo de OMG, también responde a los requerimientos y las preguntas que se hagan sobre temas concretos y de vez en cuando evalúa algún tema que requiera atención especial. </w:t>
      </w:r>
    </w:p>
    <w:p w:rsidR="00AA37DE" w:rsidRDefault="00AA37DE" w:rsidP="00AA37DE">
      <w:pPr>
        <w:pStyle w:val="Default"/>
        <w:rPr>
          <w:sz w:val="22"/>
          <w:szCs w:val="22"/>
        </w:rPr>
      </w:pPr>
      <w:r>
        <w:rPr>
          <w:sz w:val="22"/>
          <w:szCs w:val="22"/>
        </w:rPr>
        <w:t>Dentro del "GMO panel" encontramos la Unidad de GMO, que da soporte administrativo y científico y puede llevar a cabo otros proyectos en competencia de la EFSA. La unidad también puede producir resultados científicos en nombre de la EFSA, por ejemplo, en respuesta a las solicitudes urgentes de asesoramiento científico</w:t>
      </w:r>
      <w:proofErr w:type="gramStart"/>
      <w:r>
        <w:rPr>
          <w:sz w:val="22"/>
          <w:szCs w:val="22"/>
        </w:rPr>
        <w:t>.(</w:t>
      </w:r>
      <w:proofErr w:type="gramEnd"/>
      <w:r>
        <w:rPr>
          <w:sz w:val="22"/>
          <w:szCs w:val="22"/>
        </w:rPr>
        <w:t xml:space="preserve">1) </w:t>
      </w: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b/>
          <w:bCs/>
          <w:sz w:val="23"/>
          <w:szCs w:val="23"/>
        </w:rPr>
      </w:pPr>
    </w:p>
    <w:p w:rsidR="00AA37DE" w:rsidRDefault="00AA37DE" w:rsidP="00AA37DE">
      <w:pPr>
        <w:pStyle w:val="Default"/>
        <w:rPr>
          <w:sz w:val="23"/>
          <w:szCs w:val="23"/>
        </w:rPr>
      </w:pPr>
      <w:r>
        <w:rPr>
          <w:b/>
          <w:bCs/>
          <w:sz w:val="23"/>
          <w:szCs w:val="23"/>
        </w:rPr>
        <w:t xml:space="preserve">2.2. Introducción a la situación actual de los GMO y principales transgénicos aprobados: </w:t>
      </w:r>
    </w:p>
    <w:p w:rsidR="00AA37DE" w:rsidRDefault="00AA37DE" w:rsidP="00AA37DE">
      <w:pPr>
        <w:pStyle w:val="Default"/>
        <w:rPr>
          <w:sz w:val="23"/>
          <w:szCs w:val="23"/>
        </w:rPr>
      </w:pPr>
    </w:p>
    <w:p w:rsidR="00AA37DE" w:rsidRDefault="00AA37DE" w:rsidP="00AA37DE">
      <w:r>
        <w:t>En el momento de describir la situación europea actual respecto a los transgénicos hay que dirigirse a los organismos que se encargan de legislar (consejo europeo) donde se toman las decisiones y en los organismos científicos europeos (EFSA) y nacionales de cada país, los cuales investigan sobre la seguridad de los transgénicos. Por eso a continuación adjuntamos un texto extraído de la EFSA donde se resume muy escuetamente la situación actual.</w:t>
      </w:r>
    </w:p>
    <w:p w:rsidR="00AA37DE" w:rsidRDefault="00AA37DE" w:rsidP="00AA37DE">
      <w:pPr>
        <w:pStyle w:val="Default"/>
        <w:rPr>
          <w:b/>
          <w:bCs/>
          <w:sz w:val="22"/>
          <w:szCs w:val="22"/>
        </w:rPr>
      </w:pPr>
      <w:r>
        <w:rPr>
          <w:sz w:val="22"/>
          <w:szCs w:val="22"/>
        </w:rPr>
        <w:t>Fragmento del documento emitido por la EFSA</w:t>
      </w:r>
      <w:r>
        <w:rPr>
          <w:b/>
          <w:bCs/>
          <w:sz w:val="22"/>
          <w:szCs w:val="22"/>
        </w:rPr>
        <w:t xml:space="preserve">: </w:t>
      </w:r>
    </w:p>
    <w:p w:rsidR="00AA37DE" w:rsidRDefault="00AA37DE" w:rsidP="00AA37DE">
      <w:pPr>
        <w:pStyle w:val="Default"/>
        <w:rPr>
          <w:sz w:val="22"/>
          <w:szCs w:val="22"/>
        </w:rPr>
      </w:pPr>
    </w:p>
    <w:p w:rsidR="00AA37DE" w:rsidRDefault="00AA37DE" w:rsidP="00AA37DE">
      <w:pPr>
        <w:pStyle w:val="Default"/>
        <w:rPr>
          <w:sz w:val="22"/>
          <w:szCs w:val="22"/>
        </w:rPr>
      </w:pPr>
      <w:r>
        <w:rPr>
          <w:b/>
          <w:bCs/>
          <w:sz w:val="22"/>
          <w:szCs w:val="22"/>
        </w:rPr>
        <w:t xml:space="preserve">Preguntas y respuestas sobre el nuevo planteamiento de la UE en relación con el cultivo de OMG; Bruselas, 13 de junio de 2010 (1) </w:t>
      </w:r>
    </w:p>
    <w:p w:rsidR="00AA37DE" w:rsidRDefault="00AA37DE" w:rsidP="00AA37DE">
      <w:pPr>
        <w:pStyle w:val="Default"/>
        <w:rPr>
          <w:sz w:val="22"/>
          <w:szCs w:val="22"/>
        </w:rPr>
      </w:pPr>
      <w:r>
        <w:rPr>
          <w:b/>
          <w:bCs/>
          <w:sz w:val="22"/>
          <w:szCs w:val="22"/>
        </w:rPr>
        <w:t xml:space="preserve">Cultivos OMG en la UE </w:t>
      </w:r>
    </w:p>
    <w:p w:rsidR="00AA37DE" w:rsidRDefault="00AA37DE" w:rsidP="00AA37DE">
      <w:pPr>
        <w:pStyle w:val="Default"/>
        <w:rPr>
          <w:sz w:val="22"/>
          <w:szCs w:val="22"/>
        </w:rPr>
      </w:pPr>
      <w:r>
        <w:rPr>
          <w:sz w:val="22"/>
          <w:szCs w:val="22"/>
        </w:rPr>
        <w:t xml:space="preserve">Sí. En la UE se cultiva comercialmente un maíz modificado genéticamente, el MON 810. La modificación genética de este producto tiene como objetivo proteger la cosecha contra una plaga nociva, el piral del maíz. Fue autorizado en 1998. </w:t>
      </w:r>
    </w:p>
    <w:p w:rsidR="00AA37DE" w:rsidRDefault="00AA37DE" w:rsidP="00AA37DE">
      <w:r>
        <w:t xml:space="preserve">El 2 de marzo de 2010 se autorizó el cultivo y la transformación industrial de una patata para fécula modificada genéticamente, denominada patata </w:t>
      </w:r>
      <w:proofErr w:type="spellStart"/>
      <w:r>
        <w:t>Amflora</w:t>
      </w:r>
      <w:proofErr w:type="spellEnd"/>
      <w:r>
        <w:t xml:space="preserve">. </w:t>
      </w:r>
      <w:proofErr w:type="gramStart"/>
      <w:r>
        <w:t>Este</w:t>
      </w:r>
      <w:proofErr w:type="gramEnd"/>
      <w:r>
        <w:t xml:space="preserve"> patata tiene un mayor contenido de </w:t>
      </w:r>
      <w:proofErr w:type="spellStart"/>
      <w:r>
        <w:t>amilopectina</w:t>
      </w:r>
      <w:proofErr w:type="spellEnd"/>
      <w:r>
        <w:t>. La fécula está destinada a usos industriales, tales como la producción de papel.</w:t>
      </w:r>
    </w:p>
    <w:p w:rsidR="00AA37DE" w:rsidRDefault="00AA37DE" w:rsidP="00AA37DE">
      <w:r>
        <w:rPr>
          <w:noProof/>
          <w:lang w:eastAsia="es-ES"/>
        </w:rPr>
        <w:drawing>
          <wp:inline distT="0" distB="0" distL="0" distR="0">
            <wp:extent cx="6654165" cy="81442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4165" cy="814426"/>
                    </a:xfrm>
                    <a:prstGeom prst="rect">
                      <a:avLst/>
                    </a:prstGeom>
                    <a:noFill/>
                    <a:ln>
                      <a:noFill/>
                    </a:ln>
                  </pic:spPr>
                </pic:pic>
              </a:graphicData>
            </a:graphic>
          </wp:inline>
        </w:drawing>
      </w:r>
      <w:r>
        <w:rPr>
          <w:noProof/>
          <w:lang w:eastAsia="es-ES"/>
        </w:rPr>
        <w:drawing>
          <wp:inline distT="0" distB="0" distL="0" distR="0">
            <wp:extent cx="6654165" cy="17972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4165" cy="1797286"/>
                    </a:xfrm>
                    <a:prstGeom prst="rect">
                      <a:avLst/>
                    </a:prstGeom>
                    <a:noFill/>
                    <a:ln>
                      <a:noFill/>
                    </a:ln>
                  </pic:spPr>
                </pic:pic>
              </a:graphicData>
            </a:graphic>
          </wp:inline>
        </w:drawing>
      </w:r>
    </w:p>
    <w:p w:rsidR="00AA37DE" w:rsidRDefault="00AA37DE" w:rsidP="00AA37DE">
      <w:r>
        <w:rPr>
          <w:noProof/>
          <w:lang w:eastAsia="es-ES"/>
        </w:rPr>
        <w:lastRenderedPageBreak/>
        <w:drawing>
          <wp:inline distT="0" distB="0" distL="0" distR="0">
            <wp:extent cx="6654165" cy="37166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4165" cy="3716612"/>
                    </a:xfrm>
                    <a:prstGeom prst="rect">
                      <a:avLst/>
                    </a:prstGeom>
                    <a:noFill/>
                    <a:ln>
                      <a:noFill/>
                    </a:ln>
                  </pic:spPr>
                </pic:pic>
              </a:graphicData>
            </a:graphic>
          </wp:inline>
        </w:drawing>
      </w:r>
    </w:p>
    <w:p w:rsidR="00AA37DE" w:rsidRDefault="00AA37DE" w:rsidP="00AA37DE"/>
    <w:p w:rsidR="00AA37DE" w:rsidRDefault="00AA37DE" w:rsidP="00AA37DE"/>
    <w:p w:rsidR="00AA37DE" w:rsidRDefault="00AA37DE" w:rsidP="00AA37DE">
      <w:pPr>
        <w:pStyle w:val="Default"/>
        <w:rPr>
          <w:sz w:val="22"/>
          <w:szCs w:val="22"/>
        </w:rPr>
      </w:pPr>
      <w:r>
        <w:rPr>
          <w:sz w:val="22"/>
          <w:szCs w:val="22"/>
        </w:rPr>
        <w:t xml:space="preserve">A fecha de hoy, la lista de OMG autorizados incluye también lo siguiente: un producto de la remolacha azucarera, tres de la soja, tres de la colza, seis del algodón y diecisiete del maíz. </w:t>
      </w:r>
    </w:p>
    <w:p w:rsidR="00AA37DE" w:rsidRDefault="00AA37DE" w:rsidP="00AA37DE">
      <w:pPr>
        <w:pStyle w:val="Default"/>
        <w:rPr>
          <w:sz w:val="22"/>
          <w:szCs w:val="22"/>
        </w:rPr>
      </w:pPr>
      <w:r>
        <w:rPr>
          <w:sz w:val="22"/>
          <w:szCs w:val="22"/>
        </w:rPr>
        <w:t>Uno de los OMG autorizados más recientemente es la patata para fécula «</w:t>
      </w:r>
      <w:proofErr w:type="spellStart"/>
      <w:r>
        <w:rPr>
          <w:sz w:val="22"/>
          <w:szCs w:val="22"/>
        </w:rPr>
        <w:t>Amflora</w:t>
      </w:r>
      <w:proofErr w:type="spellEnd"/>
      <w:r>
        <w:rPr>
          <w:sz w:val="22"/>
          <w:szCs w:val="22"/>
        </w:rPr>
        <w:t>». Al igual que las patatas para fécula convencionales, la «</w:t>
      </w:r>
      <w:proofErr w:type="spellStart"/>
      <w:r>
        <w:rPr>
          <w:sz w:val="22"/>
          <w:szCs w:val="22"/>
        </w:rPr>
        <w:t>Amflora</w:t>
      </w:r>
      <w:proofErr w:type="spellEnd"/>
      <w:r>
        <w:rPr>
          <w:sz w:val="22"/>
          <w:szCs w:val="22"/>
        </w:rPr>
        <w:t xml:space="preserve">» no está destinada a ser utilizada como alimento. El subproducto de esta patata (la pulpa) está autorizado como pienso. Se autoriza la presencia accidental o técnicamente inevitable de esta patata en alimentos y piensos hasta un máximo del 0,9 %. </w:t>
      </w:r>
    </w:p>
    <w:p w:rsidR="00AA37DE" w:rsidRDefault="00AA37DE" w:rsidP="00AA37DE">
      <w:pPr>
        <w:pStyle w:val="Default"/>
        <w:rPr>
          <w:sz w:val="22"/>
          <w:szCs w:val="22"/>
        </w:rPr>
      </w:pPr>
      <w:r>
        <w:rPr>
          <w:sz w:val="22"/>
          <w:szCs w:val="22"/>
        </w:rPr>
        <w:t xml:space="preserve">La lista de plantas modificadas genéticamente autorizadas y el alcance preciso de su autorización puede consultarse en el registro de alimentos y piensos modificados genéticamente de la UE, que se encuentra al pie de página (2). </w:t>
      </w:r>
    </w:p>
    <w:p w:rsidR="00AA37DE" w:rsidRDefault="00AA37DE" w:rsidP="00AA37DE">
      <w:pPr>
        <w:pStyle w:val="Default"/>
        <w:rPr>
          <w:sz w:val="22"/>
          <w:szCs w:val="22"/>
        </w:rPr>
      </w:pPr>
      <w:r>
        <w:rPr>
          <w:b/>
          <w:bCs/>
          <w:sz w:val="22"/>
          <w:szCs w:val="22"/>
        </w:rPr>
        <w:t xml:space="preserve">Otros OMG para cultivo sobre los que la UE podría tomar una decisión </w:t>
      </w:r>
    </w:p>
    <w:p w:rsidR="00AA37DE" w:rsidRDefault="00AA37DE" w:rsidP="00AA37DE">
      <w:pPr>
        <w:pStyle w:val="Default"/>
        <w:rPr>
          <w:sz w:val="22"/>
          <w:szCs w:val="22"/>
        </w:rPr>
      </w:pPr>
      <w:r>
        <w:rPr>
          <w:sz w:val="22"/>
          <w:szCs w:val="22"/>
        </w:rPr>
        <w:t xml:space="preserve">Se han presentado más de diez solicitudes de autorización (o renovación) de cultivo de OMG, que se encuentran en diferentes fases del procedimiento de tramitación. </w:t>
      </w:r>
    </w:p>
    <w:p w:rsidR="00AA37DE" w:rsidRDefault="00AA37DE" w:rsidP="00AA37DE">
      <w:pPr>
        <w:pStyle w:val="Default"/>
        <w:rPr>
          <w:sz w:val="22"/>
          <w:szCs w:val="22"/>
        </w:rPr>
      </w:pPr>
      <w:r>
        <w:rPr>
          <w:b/>
          <w:bCs/>
          <w:sz w:val="22"/>
          <w:szCs w:val="22"/>
        </w:rPr>
        <w:t xml:space="preserve">Cuatro OMG se encuentran en una fase avanzada. </w:t>
      </w:r>
      <w:r>
        <w:rPr>
          <w:sz w:val="22"/>
          <w:szCs w:val="22"/>
        </w:rPr>
        <w:t xml:space="preserve">Han recibido un dictamen favorable de la Autoridad Europea de Seguridad Alimentaria (EFSA) y su procedimiento de autorización (o de renovación del procedimiento de autorización) está en curso. El dictamen favorable de la EFSA relativo a la </w:t>
      </w:r>
      <w:r>
        <w:rPr>
          <w:b/>
          <w:bCs/>
          <w:sz w:val="22"/>
          <w:szCs w:val="22"/>
        </w:rPr>
        <w:t xml:space="preserve">renovación de la autorización </w:t>
      </w:r>
      <w:proofErr w:type="spellStart"/>
      <w:r>
        <w:rPr>
          <w:b/>
          <w:bCs/>
          <w:sz w:val="22"/>
          <w:szCs w:val="22"/>
        </w:rPr>
        <w:t>delmaíz</w:t>
      </w:r>
      <w:proofErr w:type="spellEnd"/>
      <w:r>
        <w:rPr>
          <w:b/>
          <w:bCs/>
          <w:sz w:val="22"/>
          <w:szCs w:val="22"/>
        </w:rPr>
        <w:t xml:space="preserve"> MON810</w:t>
      </w:r>
      <w:r>
        <w:rPr>
          <w:sz w:val="22"/>
          <w:szCs w:val="22"/>
        </w:rPr>
        <w:t xml:space="preserve">, que protege a la planta contra determinados insectos, fue adoptado en junio de 2009. Hay otros dos productos de maíz modificado genéticamente, el </w:t>
      </w:r>
      <w:r>
        <w:rPr>
          <w:b/>
          <w:bCs/>
          <w:sz w:val="22"/>
          <w:szCs w:val="22"/>
        </w:rPr>
        <w:t xml:space="preserve">maíz </w:t>
      </w:r>
      <w:proofErr w:type="spellStart"/>
      <w:r>
        <w:rPr>
          <w:b/>
          <w:bCs/>
          <w:sz w:val="22"/>
          <w:szCs w:val="22"/>
        </w:rPr>
        <w:t>Bt</w:t>
      </w:r>
      <w:proofErr w:type="spellEnd"/>
      <w:r>
        <w:rPr>
          <w:b/>
          <w:bCs/>
          <w:sz w:val="22"/>
          <w:szCs w:val="22"/>
        </w:rPr>
        <w:t xml:space="preserve"> 1507 (solicitud presentada por Pioneer) </w:t>
      </w:r>
      <w:r>
        <w:rPr>
          <w:sz w:val="22"/>
          <w:szCs w:val="22"/>
        </w:rPr>
        <w:t xml:space="preserve">y el </w:t>
      </w:r>
      <w:r>
        <w:rPr>
          <w:b/>
          <w:bCs/>
          <w:sz w:val="22"/>
          <w:szCs w:val="22"/>
        </w:rPr>
        <w:t xml:space="preserve">maíz </w:t>
      </w:r>
      <w:proofErr w:type="spellStart"/>
      <w:r>
        <w:rPr>
          <w:b/>
          <w:bCs/>
          <w:sz w:val="22"/>
          <w:szCs w:val="22"/>
        </w:rPr>
        <w:t>Bt</w:t>
      </w:r>
      <w:proofErr w:type="spellEnd"/>
      <w:r>
        <w:rPr>
          <w:b/>
          <w:bCs/>
          <w:sz w:val="22"/>
          <w:szCs w:val="22"/>
        </w:rPr>
        <w:t xml:space="preserve"> 11(solicitud de </w:t>
      </w:r>
      <w:proofErr w:type="spellStart"/>
      <w:r>
        <w:rPr>
          <w:b/>
          <w:bCs/>
          <w:sz w:val="22"/>
          <w:szCs w:val="22"/>
        </w:rPr>
        <w:t>Syngenta</w:t>
      </w:r>
      <w:proofErr w:type="spellEnd"/>
      <w:r>
        <w:rPr>
          <w:b/>
          <w:bCs/>
          <w:sz w:val="22"/>
          <w:szCs w:val="22"/>
        </w:rPr>
        <w:t>)</w:t>
      </w:r>
      <w:r>
        <w:rPr>
          <w:sz w:val="22"/>
          <w:szCs w:val="22"/>
        </w:rPr>
        <w:t xml:space="preserve">, que también protege a la planta contra determinados insectos. Los dictámenes favorables de la EFSA fueron adoptados, respectivamente, en enero y abril de 2005, y los proyectos de decisión para autorizar estos dos OMG se votaron el 25 de febrero de 2009 en el marco del comité de reglamentación con arreglo a la Directiva 2001/18/CE. No se obtuvo ninguna mayoría cualificada. El cuarto es el </w:t>
      </w:r>
      <w:r>
        <w:rPr>
          <w:b/>
          <w:bCs/>
          <w:sz w:val="22"/>
          <w:szCs w:val="22"/>
        </w:rPr>
        <w:t>maíz NK 603(solicitud de Monsanto)</w:t>
      </w:r>
      <w:r>
        <w:rPr>
          <w:sz w:val="22"/>
          <w:szCs w:val="22"/>
        </w:rPr>
        <w:t xml:space="preserve">, que es tolerante al herbicida </w:t>
      </w:r>
      <w:proofErr w:type="spellStart"/>
      <w:r>
        <w:rPr>
          <w:sz w:val="22"/>
          <w:szCs w:val="22"/>
        </w:rPr>
        <w:t>RoundUp</w:t>
      </w:r>
      <w:proofErr w:type="spellEnd"/>
      <w:r>
        <w:rPr>
          <w:sz w:val="22"/>
          <w:szCs w:val="22"/>
        </w:rPr>
        <w:t xml:space="preserve">. La EFSA adoptó un dictamen favorable sobre este producto en junio de 2009. </w:t>
      </w:r>
    </w:p>
    <w:p w:rsidR="00AA37DE" w:rsidRDefault="00AA37DE" w:rsidP="00AA37DE">
      <w:r>
        <w:t xml:space="preserve">Desde el punto de vista del procedimiento, el próximo paso para el maíz MON810 y el NK603 sería la presentación de un proyecto de decisión al Comité Permanente de la Cadena Alimentaria y de Sanidad Animal (primer paso del procedimiento de </w:t>
      </w:r>
      <w:proofErr w:type="spellStart"/>
      <w:r>
        <w:t>comitología</w:t>
      </w:r>
      <w:proofErr w:type="spellEnd"/>
      <w:r>
        <w:t xml:space="preserve">). El maíz </w:t>
      </w:r>
      <w:proofErr w:type="spellStart"/>
      <w:r>
        <w:t>Bt</w:t>
      </w:r>
      <w:proofErr w:type="spellEnd"/>
      <w:r>
        <w:t xml:space="preserve"> 11 y el </w:t>
      </w:r>
      <w:proofErr w:type="spellStart"/>
      <w:r>
        <w:t>Bt</w:t>
      </w:r>
      <w:proofErr w:type="spellEnd"/>
      <w:r>
        <w:t xml:space="preserve"> 1507 se encuentran en fase de tramitación por el procedimiento de </w:t>
      </w:r>
      <w:proofErr w:type="spellStart"/>
      <w:r>
        <w:t>comitología</w:t>
      </w:r>
      <w:proofErr w:type="spellEnd"/>
      <w:r>
        <w:t>, y la próxima fase del procedimiento será la presentación de las decisiones al Consejo.</w:t>
      </w:r>
    </w:p>
    <w:p w:rsidR="00AA37DE" w:rsidRDefault="00AA37DE" w:rsidP="00AA37DE">
      <w:r>
        <w:rPr>
          <w:noProof/>
          <w:lang w:eastAsia="es-ES"/>
        </w:rPr>
        <w:lastRenderedPageBreak/>
        <w:drawing>
          <wp:inline distT="0" distB="0" distL="0" distR="0">
            <wp:extent cx="6654165" cy="535077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165" cy="5350772"/>
                    </a:xfrm>
                    <a:prstGeom prst="rect">
                      <a:avLst/>
                    </a:prstGeom>
                    <a:noFill/>
                    <a:ln>
                      <a:noFill/>
                    </a:ln>
                  </pic:spPr>
                </pic:pic>
              </a:graphicData>
            </a:graphic>
          </wp:inline>
        </w:drawing>
      </w:r>
      <w:r>
        <w:rPr>
          <w:noProof/>
          <w:lang w:eastAsia="es-ES"/>
        </w:rPr>
        <w:drawing>
          <wp:inline distT="0" distB="0" distL="0" distR="0">
            <wp:extent cx="6654165" cy="17993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165" cy="1799370"/>
                    </a:xfrm>
                    <a:prstGeom prst="rect">
                      <a:avLst/>
                    </a:prstGeom>
                    <a:noFill/>
                    <a:ln>
                      <a:noFill/>
                    </a:ln>
                  </pic:spPr>
                </pic:pic>
              </a:graphicData>
            </a:graphic>
          </wp:inline>
        </w:drawing>
      </w:r>
      <w:r>
        <w:rPr>
          <w:noProof/>
          <w:lang w:eastAsia="es-ES"/>
        </w:rPr>
        <w:drawing>
          <wp:inline distT="0" distB="0" distL="0" distR="0">
            <wp:extent cx="6654165" cy="26546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4165" cy="2654698"/>
                    </a:xfrm>
                    <a:prstGeom prst="rect">
                      <a:avLst/>
                    </a:prstGeom>
                    <a:noFill/>
                    <a:ln>
                      <a:noFill/>
                    </a:ln>
                  </pic:spPr>
                </pic:pic>
              </a:graphicData>
            </a:graphic>
          </wp:inline>
        </w:drawing>
      </w:r>
    </w:p>
    <w:p w:rsidR="00AA37DE" w:rsidRDefault="00AA37DE" w:rsidP="00AA37DE"/>
    <w:p w:rsidR="00AA37DE" w:rsidRDefault="00AA37DE" w:rsidP="00AA37DE"/>
    <w:p w:rsidR="00AA37DE" w:rsidRDefault="00AA37DE" w:rsidP="00AA37DE"/>
    <w:p w:rsidR="00AA37DE" w:rsidRDefault="00AA37DE" w:rsidP="00AA37DE">
      <w:pPr>
        <w:pStyle w:val="Default"/>
      </w:pPr>
    </w:p>
    <w:p w:rsidR="00AA37DE" w:rsidRDefault="00AA37DE" w:rsidP="00AA37DE">
      <w:pPr>
        <w:pStyle w:val="Default"/>
        <w:rPr>
          <w:sz w:val="23"/>
          <w:szCs w:val="23"/>
        </w:rPr>
      </w:pPr>
      <w:r>
        <w:rPr>
          <w:b/>
          <w:bCs/>
          <w:sz w:val="23"/>
          <w:szCs w:val="23"/>
        </w:rPr>
        <w:t xml:space="preserve">2.3. Posición de la EFSA: criterios científicos </w:t>
      </w:r>
    </w:p>
    <w:p w:rsidR="00AA37DE" w:rsidRDefault="00AA37DE" w:rsidP="00AA37DE">
      <w:pPr>
        <w:pStyle w:val="Default"/>
        <w:rPr>
          <w:sz w:val="22"/>
          <w:szCs w:val="22"/>
        </w:rPr>
      </w:pPr>
      <w:r>
        <w:rPr>
          <w:sz w:val="22"/>
          <w:szCs w:val="22"/>
        </w:rPr>
        <w:t xml:space="preserve">La aprobación o no de los transgénicos tiene como base la investigación. Así pues, la EFSA tiene la función de emitir su opinión por todos y cada uno de los transgénicos que requieran su comercialización (tanto sea para consumo como para cultivo) en el sí de la UE. </w:t>
      </w:r>
    </w:p>
    <w:p w:rsidR="00AA37DE" w:rsidRDefault="00AA37DE" w:rsidP="00AA37DE">
      <w:pPr>
        <w:pStyle w:val="Default"/>
        <w:rPr>
          <w:sz w:val="22"/>
          <w:szCs w:val="22"/>
        </w:rPr>
      </w:pPr>
      <w:r>
        <w:rPr>
          <w:sz w:val="22"/>
          <w:szCs w:val="22"/>
        </w:rPr>
        <w:t xml:space="preserve">A continuación expondremos algunos de los ejemplos más recientes y más relevantes de los informes emitidos por la EFSA para clarificar el papel de ésta en referencia a los GMO. </w:t>
      </w:r>
    </w:p>
    <w:p w:rsidR="00AA37DE" w:rsidRDefault="00AA37DE" w:rsidP="00AA37DE">
      <w:pPr>
        <w:pStyle w:val="Default"/>
        <w:rPr>
          <w:sz w:val="22"/>
          <w:szCs w:val="22"/>
        </w:rPr>
      </w:pPr>
      <w:r>
        <w:rPr>
          <w:sz w:val="22"/>
          <w:szCs w:val="22"/>
        </w:rPr>
        <w:t>La mayoría de documentos publicados por la EFSA son "</w:t>
      </w:r>
      <w:proofErr w:type="spellStart"/>
      <w:r>
        <w:rPr>
          <w:sz w:val="22"/>
          <w:szCs w:val="22"/>
        </w:rPr>
        <w:t>scientificopinions</w:t>
      </w:r>
      <w:proofErr w:type="spellEnd"/>
      <w:r>
        <w:rPr>
          <w:sz w:val="22"/>
          <w:szCs w:val="22"/>
        </w:rPr>
        <w:t xml:space="preserve">", aquí os ilustraremos con resúmenes publicados por la EFSA de los ejemplos más recientes y relevantes para entender mejor cómo llegan a las decisiones y considerar si un transgénico es potencialmente perjudicial o no . Normalmente estas opiniones científicas consisten en revisiones de artículos científicos publicados sobre un transgénico en concreto y de sus conclusiones. De la discusión de los miembros que forman el "GMO panel" resulta una opinión final. </w:t>
      </w:r>
    </w:p>
    <w:p w:rsidR="00AA37DE" w:rsidRDefault="00AA37DE" w:rsidP="00AA37DE">
      <w:pPr>
        <w:pStyle w:val="Default"/>
        <w:rPr>
          <w:sz w:val="22"/>
          <w:szCs w:val="22"/>
        </w:rPr>
      </w:pPr>
    </w:p>
    <w:p w:rsidR="00AA37DE" w:rsidRDefault="00AA37DE" w:rsidP="00AA37DE">
      <w:pPr>
        <w:pStyle w:val="Default"/>
        <w:rPr>
          <w:sz w:val="22"/>
          <w:szCs w:val="22"/>
        </w:rPr>
      </w:pPr>
    </w:p>
    <w:p w:rsidR="00AA37DE" w:rsidRPr="00AA37DE" w:rsidRDefault="00AA37DE" w:rsidP="00AA37DE">
      <w:pPr>
        <w:pStyle w:val="Default"/>
        <w:rPr>
          <w:color w:val="1F497D" w:themeColor="text2"/>
          <w:sz w:val="22"/>
          <w:szCs w:val="22"/>
          <w:lang w:val="en-US"/>
        </w:rPr>
      </w:pPr>
      <w:r w:rsidRPr="00AA37DE">
        <w:rPr>
          <w:b/>
          <w:bCs/>
          <w:color w:val="1F497D" w:themeColor="text2"/>
          <w:sz w:val="22"/>
          <w:szCs w:val="22"/>
          <w:lang w:val="en-US"/>
        </w:rPr>
        <w:t xml:space="preserve">Scientific Opinion updating the risk assessment conclusions and risk management recommendations on the genetically modified insect </w:t>
      </w:r>
      <w:proofErr w:type="spellStart"/>
      <w:r w:rsidRPr="00AA37DE">
        <w:rPr>
          <w:b/>
          <w:bCs/>
          <w:color w:val="1F497D" w:themeColor="text2"/>
          <w:sz w:val="22"/>
          <w:szCs w:val="22"/>
          <w:lang w:val="en-US"/>
        </w:rPr>
        <w:t>resistent</w:t>
      </w:r>
      <w:proofErr w:type="spellEnd"/>
      <w:r w:rsidRPr="00AA37DE">
        <w:rPr>
          <w:b/>
          <w:bCs/>
          <w:color w:val="1F497D" w:themeColor="text2"/>
          <w:sz w:val="22"/>
          <w:szCs w:val="22"/>
          <w:lang w:val="en-US"/>
        </w:rPr>
        <w:t xml:space="preserve"> maize Bt11; EFSA Panel on Genetically Modified Organisms (GMOs); European Food Safety Authority (EFSA), Parma, Italy; 11 December 2012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El Panel de OMG de la EFSA realizó una investigación científica para identificar nuevas publicaciones específicas para el maíz Bt11 que pudieran aportar nueva información pertinente para la evaluación del riesgo y / o la gestión del maíz Bt11. Posteriormente, el Panel de OMG de la EFSA evaluó si la información reportada en publicaciones recientes, identificadas mediante la búsqueda bibliográfica, invalidaría las conclusiones anteriores de evaluación de riesgos sobre el maíz Bt-11, así como sus recomendaciones anteriores sobre las medidas de mitigación de riesgo y monitorización. </w:t>
      </w:r>
    </w:p>
    <w:p w:rsidR="00AA37DE" w:rsidRPr="00AA37DE" w:rsidRDefault="00AA37DE" w:rsidP="00AA37DE">
      <w:pPr>
        <w:pStyle w:val="Default"/>
        <w:rPr>
          <w:color w:val="1F497D" w:themeColor="text2"/>
          <w:sz w:val="22"/>
          <w:szCs w:val="22"/>
        </w:rPr>
      </w:pPr>
      <w:r w:rsidRPr="00AA37DE">
        <w:rPr>
          <w:color w:val="1F497D" w:themeColor="text2"/>
          <w:sz w:val="22"/>
          <w:szCs w:val="22"/>
        </w:rPr>
        <w:t>Después de una búsqueda de la literatura científica publicada entre 2005 y octubre de 2012</w:t>
      </w:r>
      <w:r w:rsidRPr="00AA37DE">
        <w:rPr>
          <w:b/>
          <w:bCs/>
          <w:color w:val="1F497D" w:themeColor="text2"/>
          <w:sz w:val="22"/>
          <w:szCs w:val="22"/>
        </w:rPr>
        <w:t>, el Panel de la EFSA OMG halla 287 peer-</w:t>
      </w:r>
      <w:proofErr w:type="spellStart"/>
      <w:r w:rsidRPr="00AA37DE">
        <w:rPr>
          <w:b/>
          <w:bCs/>
          <w:color w:val="1F497D" w:themeColor="text2"/>
          <w:sz w:val="22"/>
          <w:szCs w:val="22"/>
        </w:rPr>
        <w:t>reviews</w:t>
      </w:r>
      <w:r w:rsidRPr="00AA37DE">
        <w:rPr>
          <w:color w:val="1F497D" w:themeColor="text2"/>
          <w:sz w:val="22"/>
          <w:szCs w:val="22"/>
        </w:rPr>
        <w:t>con</w:t>
      </w:r>
      <w:proofErr w:type="spellEnd"/>
      <w:r w:rsidRPr="00AA37DE">
        <w:rPr>
          <w:color w:val="1F497D" w:themeColor="text2"/>
          <w:sz w:val="22"/>
          <w:szCs w:val="22"/>
        </w:rPr>
        <w:t xml:space="preserve"> pruebas específicas para la evaluación del riesgo y / o la gestión de maíz Bt11, de los cuales 270 publicaciones fueron discutidos y citados anteriormente en los correspondientes documentos sobre maíz GM de la EFSA Panel de OGM científicos. De las 17 publicaciones restantes, tres eran pertinentes para la evaluación de la inocuidad de alimentos y piensos, y 14 para la evaluación de riesgos ambientales y / o gestión de riesgos del maíz Bt11. </w:t>
      </w:r>
    </w:p>
    <w:p w:rsidR="00AA37DE" w:rsidRPr="00AA37DE" w:rsidRDefault="00AA37DE" w:rsidP="00AA37DE">
      <w:pPr>
        <w:rPr>
          <w:color w:val="1F497D" w:themeColor="text2"/>
        </w:rPr>
      </w:pPr>
      <w:r w:rsidRPr="00AA37DE">
        <w:rPr>
          <w:b/>
          <w:bCs/>
          <w:color w:val="1F497D" w:themeColor="text2"/>
        </w:rPr>
        <w:t>El Grupo Especial de OMG de la EFSA no identificó publicaciones peer-</w:t>
      </w:r>
      <w:proofErr w:type="spellStart"/>
      <w:r w:rsidRPr="00AA37DE">
        <w:rPr>
          <w:b/>
          <w:bCs/>
          <w:color w:val="1F497D" w:themeColor="text2"/>
        </w:rPr>
        <w:t>review</w:t>
      </w:r>
      <w:proofErr w:type="spellEnd"/>
      <w:r w:rsidRPr="00AA37DE">
        <w:rPr>
          <w:b/>
          <w:bCs/>
          <w:color w:val="1F497D" w:themeColor="text2"/>
        </w:rPr>
        <w:t xml:space="preserve"> que aportaran información nueva que pudiera invalidar sus conclusiones anteriores sobre la inocuidad del maíz Bt11</w:t>
      </w:r>
      <w:r w:rsidRPr="00AA37DE">
        <w:rPr>
          <w:color w:val="1F497D" w:themeColor="text2"/>
        </w:rPr>
        <w:t>. Por lo tanto, el Panel de OMG de la EFSA considera que sus conclusiones anteriores de evaluación de riesgos sobre el maíz Bt-11, así como sus recomendaciones anteriores por las medidas de mitigación de riesgos y la vigilancia, continúan siendo válidas y aplicables</w:t>
      </w:r>
      <w:proofErr w:type="gramStart"/>
      <w:r w:rsidRPr="00AA37DE">
        <w:rPr>
          <w:color w:val="1F497D" w:themeColor="text2"/>
        </w:rPr>
        <w:t>.(</w:t>
      </w:r>
      <w:proofErr w:type="gramEnd"/>
      <w:r w:rsidRPr="00AA37DE">
        <w:rPr>
          <w:color w:val="1F497D" w:themeColor="text2"/>
        </w:rPr>
        <w:t>1)</w:t>
      </w:r>
    </w:p>
    <w:p w:rsidR="00AA37DE" w:rsidRPr="00AA37DE" w:rsidRDefault="00AA37DE" w:rsidP="00AA37DE">
      <w:pPr>
        <w:pStyle w:val="Default"/>
        <w:rPr>
          <w:color w:val="1F497D" w:themeColor="text2"/>
          <w:sz w:val="22"/>
          <w:szCs w:val="22"/>
          <w:lang w:val="en-US"/>
        </w:rPr>
      </w:pPr>
      <w:r w:rsidRPr="00AA37DE">
        <w:rPr>
          <w:b/>
          <w:bCs/>
          <w:color w:val="1F497D" w:themeColor="text2"/>
          <w:sz w:val="22"/>
          <w:szCs w:val="22"/>
          <w:lang w:val="en-US"/>
        </w:rPr>
        <w:t xml:space="preserve">Scientific Opinion on the annual Post-Market Environmental Monitoring (PMEM) report from BASF Plant Science Company GmbH on the cultivation of genetically modified potato EH92-527-1 in 2011; EFSA Panel on Genetically Modified Organisms (GMO); European Food Safety Authority (EFSA), Parma, Italy; 17 December 2012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El 26 de enero de 2012, en respuesta a una petición de la Comisión Europea, la Comisión Técnica de Organismos Modificados Genéticamente de la Autoridad Europea de Seguridad Alimentaria (Comisión GMO de la EFSA) adoptó un dictamen científico sobre el informe de seguimiento del cultivo de la temporada 2010, proporcionado por BASF, sobre los cultivos genéticamente modificados (GM) de la patata EH92-527-1 </w:t>
      </w:r>
      <w:r w:rsidRPr="00AA37DE">
        <w:rPr>
          <w:b/>
          <w:bCs/>
          <w:color w:val="1F497D" w:themeColor="text2"/>
          <w:sz w:val="22"/>
          <w:szCs w:val="22"/>
        </w:rPr>
        <w:t xml:space="preserve">(variedad </w:t>
      </w:r>
      <w:proofErr w:type="spellStart"/>
      <w:r w:rsidRPr="00AA37DE">
        <w:rPr>
          <w:b/>
          <w:bCs/>
          <w:color w:val="1F497D" w:themeColor="text2"/>
          <w:sz w:val="22"/>
          <w:szCs w:val="22"/>
        </w:rPr>
        <w:t>Amflora</w:t>
      </w:r>
      <w:proofErr w:type="spellEnd"/>
      <w:r w:rsidRPr="00AA37DE">
        <w:rPr>
          <w:b/>
          <w:bCs/>
          <w:color w:val="1F497D" w:themeColor="text2"/>
          <w:sz w:val="22"/>
          <w:szCs w:val="22"/>
        </w:rPr>
        <w:t xml:space="preserve">). </w:t>
      </w:r>
      <w:r w:rsidRPr="00AA37DE">
        <w:rPr>
          <w:color w:val="1F497D" w:themeColor="text2"/>
          <w:sz w:val="22"/>
          <w:szCs w:val="22"/>
        </w:rPr>
        <w:t xml:space="preserve">Durante su evaluación del informe de seguimiento de 2010, el Panel de la EFSA OMG habían identificado deficiencias en la metodología tanto para la vigilancia general como por el estudio de campo específico en organismos que se alimentan de patata, tal como se requiere en la Decisión de la Comisión, y por tanto, se formularon recomendaciones para la mejora de la monitorización medioambiental posterior a la comercialización (PNEM) de la patata EH92-527-1. </w:t>
      </w:r>
    </w:p>
    <w:p w:rsidR="00AA37DE" w:rsidRDefault="00AA37DE" w:rsidP="00AA37DE">
      <w:pPr>
        <w:pStyle w:val="Default"/>
        <w:rPr>
          <w:color w:val="1F497D" w:themeColor="text2"/>
          <w:sz w:val="22"/>
          <w:szCs w:val="22"/>
        </w:rPr>
      </w:pPr>
      <w:r w:rsidRPr="00AA37DE">
        <w:rPr>
          <w:b/>
          <w:bCs/>
          <w:color w:val="1F497D" w:themeColor="text2"/>
          <w:sz w:val="22"/>
          <w:szCs w:val="22"/>
        </w:rPr>
        <w:t>A raíz de una petición similar de la Comisión Europea para evaluar el informe de seguimiento de la patata EH92-527-1 para el cultivo de la temporada 2011</w:t>
      </w:r>
      <w:r w:rsidRPr="00AA37DE">
        <w:rPr>
          <w:color w:val="1F497D" w:themeColor="text2"/>
          <w:sz w:val="22"/>
          <w:szCs w:val="22"/>
        </w:rPr>
        <w:t xml:space="preserve">, el Panel de la EFSA evalúa los OGM (en estrecha colaboración con la Unidad de Apoyo a la EFSA de la evaluación científica) la metodología utilizada por la demandante en el caso de estudios específicos, la vigilancia general de la patata EH92-527-1 y el estudio de campo específico para controlar los posibles efectos adversos en organismos que se alimentan de patata como se requirió a la Decisión de la Comisión correspondiente. La metodología utilizada para el control de la patata EH92-527-1 en 2011 es similar a la utilizada en 2010. Por tanto, el Panel de OMG de la EFSA centrado sobre todo en los nuevos datos del 2011, es decir, los datos de los </w:t>
      </w:r>
      <w:r w:rsidRPr="00AA37DE">
        <w:rPr>
          <w:color w:val="1F497D" w:themeColor="text2"/>
          <w:sz w:val="22"/>
          <w:szCs w:val="22"/>
        </w:rPr>
        <w:lastRenderedPageBreak/>
        <w:t xml:space="preserve">cuestionarios de los agricultores, la supervisión de organismos que se alimentan de patata y el seguimiento de los voluntarios en campos en que la patata EH92-527-1 se cultiva para la producción de almidón en 2010. </w:t>
      </w:r>
    </w:p>
    <w:p w:rsidR="00AA37DE" w:rsidRDefault="00AA37DE" w:rsidP="00AA37DE">
      <w:pPr>
        <w:pStyle w:val="Default"/>
        <w:rPr>
          <w:color w:val="1F497D" w:themeColor="text2"/>
          <w:sz w:val="22"/>
          <w:szCs w:val="22"/>
        </w:rPr>
      </w:pPr>
    </w:p>
    <w:p w:rsidR="00AA37DE" w:rsidRDefault="00AA37DE" w:rsidP="00AA37DE">
      <w:pPr>
        <w:pStyle w:val="Default"/>
        <w:rPr>
          <w:color w:val="1F497D" w:themeColor="text2"/>
          <w:sz w:val="22"/>
          <w:szCs w:val="22"/>
        </w:rPr>
      </w:pPr>
    </w:p>
    <w:p w:rsidR="00AA37DE" w:rsidRDefault="00AA37DE" w:rsidP="00AA37DE">
      <w:pPr>
        <w:pStyle w:val="Default"/>
        <w:rPr>
          <w:color w:val="1F497D" w:themeColor="text2"/>
          <w:sz w:val="22"/>
          <w:szCs w:val="22"/>
        </w:rPr>
      </w:pPr>
    </w:p>
    <w:p w:rsidR="00AA37DE" w:rsidRPr="00AA37DE" w:rsidRDefault="00AA37DE" w:rsidP="00AA37DE">
      <w:pPr>
        <w:pStyle w:val="Default"/>
        <w:rPr>
          <w:color w:val="1F497D" w:themeColor="text2"/>
          <w:sz w:val="22"/>
          <w:szCs w:val="22"/>
        </w:rPr>
      </w:pPr>
    </w:p>
    <w:p w:rsidR="00AA37DE" w:rsidRPr="00AA37DE" w:rsidRDefault="00AA37DE" w:rsidP="00AA37DE">
      <w:pPr>
        <w:pStyle w:val="Default"/>
        <w:rPr>
          <w:color w:val="1F497D" w:themeColor="text2"/>
          <w:sz w:val="22"/>
          <w:szCs w:val="22"/>
        </w:rPr>
      </w:pPr>
      <w:r w:rsidRPr="00AA37DE">
        <w:rPr>
          <w:b/>
          <w:bCs/>
          <w:color w:val="1F497D" w:themeColor="text2"/>
          <w:sz w:val="22"/>
          <w:szCs w:val="22"/>
        </w:rPr>
        <w:t xml:space="preserve">El Panel de OMG de la EFSA señala deficiencias similares en la metodología para la vigilancia general y el estudio de campo específico para controlar los posibles efectos adversos en organismos que se alimentan de patata de la misma manera que fueron encontrados en el informe de seguimiento de 2010. </w:t>
      </w:r>
      <w:r w:rsidRPr="00AA37DE">
        <w:rPr>
          <w:color w:val="1F497D" w:themeColor="text2"/>
          <w:sz w:val="22"/>
          <w:szCs w:val="22"/>
        </w:rPr>
        <w:t xml:space="preserve">Por tanto, dl grupo GMO de la EFSA reitera las mismas recomendaciones para la mejora de la metodología utilizada en la PMEM de patata EH92-527-1 como lo hizo en su dictamen científico sobre el informe de seguimiento de 2010.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Al Panel OMG de la EFSA también se evaluó la metodología de un nuevo estudio de seguimiento de GM dentro y alrededor de los campos cultivados con patata EH92-527-1 (ofrecidos de forma voluntaria) en 2010. El Panel OMG de la EFSA ha identificado defectos en el estudio y por lo tanto hace recomendaciones al solicitante para mejorar el diseño del estudio. </w:t>
      </w:r>
    </w:p>
    <w:p w:rsidR="00AA37DE" w:rsidRPr="00AA37DE" w:rsidRDefault="00AA37DE" w:rsidP="00AA37DE">
      <w:pPr>
        <w:rPr>
          <w:color w:val="1F497D" w:themeColor="text2"/>
        </w:rPr>
      </w:pPr>
      <w:r w:rsidRPr="00AA37DE">
        <w:rPr>
          <w:color w:val="1F497D" w:themeColor="text2"/>
        </w:rPr>
        <w:t>Sin embargo, desde el conjunto de datos global presentado por la demandante en su informe de seguimiento de 2011</w:t>
      </w:r>
      <w:r w:rsidRPr="00AA37DE">
        <w:rPr>
          <w:b/>
          <w:bCs/>
          <w:color w:val="1F497D" w:themeColor="text2"/>
        </w:rPr>
        <w:t>, el Grupo Especial de OMG de la EFSA no identificó efectos adversos en el medio ambiente o la salud humana y animal debido al cultivo de patata EH92-527-1. Los resultados de este informe de seguimiento de 2011 no invalidan las conclusiones de anteriores dictámenes del Grupo Especial de OMG de la EFSA sobre la patata EH92-527-1. (1)</w:t>
      </w:r>
    </w:p>
    <w:p w:rsidR="00AA37DE" w:rsidRDefault="00AA37DE" w:rsidP="00AA37DE"/>
    <w:p w:rsidR="00AA37DE" w:rsidRDefault="00AA37DE" w:rsidP="00AA37DE">
      <w:pPr>
        <w:pStyle w:val="Default"/>
        <w:rPr>
          <w:sz w:val="22"/>
          <w:szCs w:val="22"/>
        </w:rPr>
      </w:pPr>
      <w:r>
        <w:rPr>
          <w:sz w:val="22"/>
          <w:szCs w:val="22"/>
        </w:rPr>
        <w:t xml:space="preserve">La relevancia de los informes elaborados por el Comité de GMO de la EFSA se puede ver reflejada en la decisión final de la comisión europea, que acaba haciendo las leyes que permitirán el cultivo o consumo de GMO en la UE. Estas decisiones de la EFSA, por lo tanto, terminan incidiendo en nuestra vida cotidiana, como se hace patente en muchas noticias. A continuación adjuntamos un fragmento de una noticia del diario EL PAIS que habla sobre la aprobación de la patata </w:t>
      </w:r>
      <w:proofErr w:type="spellStart"/>
      <w:r>
        <w:rPr>
          <w:sz w:val="22"/>
          <w:szCs w:val="22"/>
        </w:rPr>
        <w:t>Amflora</w:t>
      </w:r>
      <w:proofErr w:type="spellEnd"/>
      <w:r>
        <w:rPr>
          <w:sz w:val="22"/>
          <w:szCs w:val="22"/>
        </w:rPr>
        <w:t xml:space="preserve"> para el cultivo en la UE. </w:t>
      </w:r>
    </w:p>
    <w:p w:rsidR="00AA37DE" w:rsidRDefault="00AA37DE" w:rsidP="00AA37DE">
      <w:pPr>
        <w:pStyle w:val="Default"/>
        <w:rPr>
          <w:sz w:val="22"/>
          <w:szCs w:val="22"/>
        </w:rPr>
      </w:pPr>
    </w:p>
    <w:p w:rsidR="00AA37DE" w:rsidRDefault="00AA37DE" w:rsidP="00AA37DE">
      <w:pPr>
        <w:pStyle w:val="Default"/>
        <w:rPr>
          <w:sz w:val="22"/>
          <w:szCs w:val="22"/>
        </w:rPr>
      </w:pPr>
    </w:p>
    <w:p w:rsidR="00AA37DE" w:rsidRPr="00AA37DE" w:rsidRDefault="00AA37DE" w:rsidP="00AA37DE">
      <w:pPr>
        <w:pStyle w:val="Default"/>
        <w:rPr>
          <w:b/>
          <w:bCs/>
          <w:color w:val="1F497D" w:themeColor="text2"/>
          <w:sz w:val="22"/>
          <w:szCs w:val="22"/>
        </w:rPr>
      </w:pPr>
      <w:r w:rsidRPr="00AA37DE">
        <w:rPr>
          <w:b/>
          <w:bCs/>
          <w:color w:val="1F497D" w:themeColor="text2"/>
          <w:sz w:val="22"/>
          <w:szCs w:val="22"/>
        </w:rPr>
        <w:t xml:space="preserve">EUROPA AUTORIZA POR PRIMERA VEZ EN 12 AÑOS UN CULTIVO TRANSGÉNICO (2010) </w:t>
      </w:r>
    </w:p>
    <w:p w:rsidR="00AA37DE" w:rsidRPr="00AA37DE" w:rsidRDefault="00AA37DE" w:rsidP="00AA37DE">
      <w:pPr>
        <w:pStyle w:val="Default"/>
        <w:rPr>
          <w:color w:val="1F497D" w:themeColor="text2"/>
          <w:sz w:val="22"/>
          <w:szCs w:val="22"/>
        </w:rPr>
      </w:pP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La Comisión Europea acabó ayer con 12 años de parálisis al autorizar por primera vez desde 1998 el cultivo y comercialización de un producto genéticamente modificado, la patata </w:t>
      </w:r>
      <w:proofErr w:type="spellStart"/>
      <w:r w:rsidRPr="00AA37DE">
        <w:rPr>
          <w:color w:val="1F497D" w:themeColor="text2"/>
          <w:sz w:val="22"/>
          <w:szCs w:val="22"/>
        </w:rPr>
        <w:t>Amflora</w:t>
      </w:r>
      <w:proofErr w:type="spellEnd"/>
      <w:r w:rsidRPr="00AA37DE">
        <w:rPr>
          <w:color w:val="1F497D" w:themeColor="text2"/>
          <w:sz w:val="22"/>
          <w:szCs w:val="22"/>
        </w:rPr>
        <w:t xml:space="preserve">. El almidón de esta creación de la alemana BASF podrá emplearse para fabricar papel y para alimentación animal. Pese a que la Comisión permitirá a los Estados vetar su comercialización, grupos ecologistas protestaron por el riesgo de contaminación de otras cosechas y alertaron de que </w:t>
      </w:r>
      <w:proofErr w:type="spellStart"/>
      <w:r w:rsidRPr="00AA37DE">
        <w:rPr>
          <w:color w:val="1F497D" w:themeColor="text2"/>
          <w:sz w:val="22"/>
          <w:szCs w:val="22"/>
        </w:rPr>
        <w:t>Amflora</w:t>
      </w:r>
      <w:proofErr w:type="spellEnd"/>
      <w:r w:rsidRPr="00AA37DE">
        <w:rPr>
          <w:color w:val="1F497D" w:themeColor="text2"/>
          <w:sz w:val="22"/>
          <w:szCs w:val="22"/>
        </w:rPr>
        <w:t xml:space="preserve"> podría provocar resistencia a los anti-bióticos. Sólo otro producto transgénico había sido autorizado hasta la fecha por Bruselas, una variedad de maíz de la que España produce el 80% de la cosecha comunitaria.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El maltés John </w:t>
      </w:r>
      <w:proofErr w:type="spellStart"/>
      <w:r w:rsidRPr="00AA37DE">
        <w:rPr>
          <w:color w:val="1F497D" w:themeColor="text2"/>
          <w:sz w:val="22"/>
          <w:szCs w:val="22"/>
        </w:rPr>
        <w:t>Dalli</w:t>
      </w:r>
      <w:proofErr w:type="spellEnd"/>
      <w:r w:rsidRPr="00AA37DE">
        <w:rPr>
          <w:color w:val="1F497D" w:themeColor="text2"/>
          <w:sz w:val="22"/>
          <w:szCs w:val="22"/>
        </w:rPr>
        <w:t xml:space="preserve">, comisario de Sanidad y Protección al Consumidor, apenas ha necesitado tres semanas para desatascar una decisión a la que se resistió numantinamente el anterior comisario de Medio Ambiente, el griego </w:t>
      </w:r>
      <w:proofErr w:type="spellStart"/>
      <w:r w:rsidRPr="00AA37DE">
        <w:rPr>
          <w:color w:val="1F497D" w:themeColor="text2"/>
          <w:sz w:val="22"/>
          <w:szCs w:val="22"/>
        </w:rPr>
        <w:t>Stavros</w:t>
      </w:r>
      <w:proofErr w:type="spellEnd"/>
      <w:r w:rsidRPr="00AA37DE">
        <w:rPr>
          <w:color w:val="1F497D" w:themeColor="text2"/>
          <w:sz w:val="22"/>
          <w:szCs w:val="22"/>
        </w:rPr>
        <w:t xml:space="preserve"> Dimas. Como Dimas no ha repetido en la nueva Comisión y su sucesor en Medio Ambiente, el esloveno </w:t>
      </w:r>
      <w:proofErr w:type="spellStart"/>
      <w:r w:rsidRPr="00AA37DE">
        <w:rPr>
          <w:color w:val="1F497D" w:themeColor="text2"/>
          <w:sz w:val="22"/>
          <w:szCs w:val="22"/>
        </w:rPr>
        <w:t>JanezPotocnik</w:t>
      </w:r>
      <w:proofErr w:type="spellEnd"/>
      <w:r w:rsidRPr="00AA37DE">
        <w:rPr>
          <w:color w:val="1F497D" w:themeColor="text2"/>
          <w:sz w:val="22"/>
          <w:szCs w:val="22"/>
        </w:rPr>
        <w:t xml:space="preserve">, no compartía sus recelos, el Ejecutivo comunitario tiró ayer por todo lo alto. No sólo aprobó el cultivo y comercialización de </w:t>
      </w:r>
      <w:proofErr w:type="spellStart"/>
      <w:r w:rsidRPr="00AA37DE">
        <w:rPr>
          <w:color w:val="1F497D" w:themeColor="text2"/>
          <w:sz w:val="22"/>
          <w:szCs w:val="22"/>
        </w:rPr>
        <w:t>Amflora</w:t>
      </w:r>
      <w:proofErr w:type="spellEnd"/>
      <w:r w:rsidRPr="00AA37DE">
        <w:rPr>
          <w:color w:val="1F497D" w:themeColor="text2"/>
          <w:sz w:val="22"/>
          <w:szCs w:val="22"/>
        </w:rPr>
        <w:t xml:space="preserve">, sino que dio el visto bueno a la comercialización de otras tres variedades de maíz de Monsanto. </w:t>
      </w:r>
    </w:p>
    <w:p w:rsidR="00AA37DE" w:rsidRPr="00AA37DE" w:rsidRDefault="00AA37DE" w:rsidP="00AA37DE">
      <w:pPr>
        <w:pStyle w:val="Default"/>
        <w:rPr>
          <w:color w:val="1F497D" w:themeColor="text2"/>
          <w:sz w:val="22"/>
          <w:szCs w:val="22"/>
        </w:rPr>
      </w:pPr>
      <w:proofErr w:type="spellStart"/>
      <w:r w:rsidRPr="00AA37DE">
        <w:rPr>
          <w:color w:val="1F497D" w:themeColor="text2"/>
          <w:sz w:val="22"/>
          <w:szCs w:val="22"/>
        </w:rPr>
        <w:t>Dalli</w:t>
      </w:r>
      <w:proofErr w:type="spellEnd"/>
      <w:r w:rsidRPr="00AA37DE">
        <w:rPr>
          <w:color w:val="1F497D" w:themeColor="text2"/>
          <w:sz w:val="22"/>
          <w:szCs w:val="22"/>
        </w:rPr>
        <w:t xml:space="preserve"> reconoció lo delicado que resulta tratar con productos transgénicos, pero aseguró que tras evaluar las cuestiones de seguridad para la salud humana y animal y las cuestiones medioambientales ha quedado claro que no había razones para seguir negando las cinco autorizaciones concedidas ayer. </w:t>
      </w:r>
      <w:r w:rsidRPr="00AA37DE">
        <w:rPr>
          <w:b/>
          <w:bCs/>
          <w:color w:val="1F497D" w:themeColor="text2"/>
          <w:sz w:val="22"/>
          <w:szCs w:val="22"/>
        </w:rPr>
        <w:t xml:space="preserve">El visto bueno político a los transgénicos vino precedido de la opinión científica favorable de la Autoridad Europea de Seguridad Alimentaria (EFSA), que esperaba en un cajón a ser tenida en cuenta desde 2006. En sus informes, la EFSA descarta que haya riesgo para la salud de las personas, los animales o el medio ambiente, incluido el alegado posible perjuicio por la presencia en la patata de dos genes que confieren a la planta resistencia a los antibióticos.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El comisario aludió a las estrictas condiciones impuestas al cultivo para evitar que contamine otras cosechas vecinas, limitaciones que incluyen la absoluta separación en todo el proceso, desde la siembra hasta la comercialización, de </w:t>
      </w:r>
      <w:proofErr w:type="spellStart"/>
      <w:r w:rsidRPr="00AA37DE">
        <w:rPr>
          <w:color w:val="1F497D" w:themeColor="text2"/>
          <w:sz w:val="22"/>
          <w:szCs w:val="22"/>
        </w:rPr>
        <w:t>Amflora</w:t>
      </w:r>
      <w:proofErr w:type="spellEnd"/>
      <w:r w:rsidRPr="00AA37DE">
        <w:rPr>
          <w:color w:val="1F497D" w:themeColor="text2"/>
          <w:sz w:val="22"/>
          <w:szCs w:val="22"/>
        </w:rPr>
        <w:t xml:space="preserve"> de las patatas destinadas a consumo humano. Aun así, la propia Comisión autoriza la presencia accidental de un 0,9% de </w:t>
      </w:r>
      <w:proofErr w:type="spellStart"/>
      <w:r w:rsidRPr="00AA37DE">
        <w:rPr>
          <w:color w:val="1F497D" w:themeColor="text2"/>
          <w:sz w:val="22"/>
          <w:szCs w:val="22"/>
        </w:rPr>
        <w:t>Amflora</w:t>
      </w:r>
      <w:proofErr w:type="spellEnd"/>
      <w:r w:rsidRPr="00AA37DE">
        <w:rPr>
          <w:color w:val="1F497D" w:themeColor="text2"/>
          <w:sz w:val="22"/>
          <w:szCs w:val="22"/>
        </w:rPr>
        <w:t xml:space="preserve"> (la misma tasa que para todos los transgénicos) en los alimentos para personas. (1) </w:t>
      </w:r>
    </w:p>
    <w:p w:rsidR="00AA37DE" w:rsidRDefault="00AA37DE" w:rsidP="00AA37DE">
      <w:pPr>
        <w:rPr>
          <w:color w:val="1F497D" w:themeColor="text2"/>
        </w:rPr>
      </w:pPr>
      <w:r w:rsidRPr="00AA37DE">
        <w:rPr>
          <w:color w:val="1F497D" w:themeColor="text2"/>
        </w:rPr>
        <w:t>EL PAÍS, miércoles, 3 de marzo de 2010</w:t>
      </w:r>
    </w:p>
    <w:p w:rsidR="00AA37DE" w:rsidRDefault="00AA37DE" w:rsidP="00AA37DE">
      <w:pPr>
        <w:rPr>
          <w:color w:val="1F497D" w:themeColor="text2"/>
        </w:rPr>
      </w:pPr>
    </w:p>
    <w:p w:rsidR="00AA37DE" w:rsidRDefault="00AA37DE" w:rsidP="00AA37DE">
      <w:pPr>
        <w:pStyle w:val="Default"/>
        <w:rPr>
          <w:sz w:val="22"/>
          <w:szCs w:val="22"/>
        </w:rPr>
      </w:pPr>
      <w:r>
        <w:rPr>
          <w:sz w:val="22"/>
          <w:szCs w:val="22"/>
        </w:rPr>
        <w:lastRenderedPageBreak/>
        <w:t xml:space="preserve">La EFSA, para hacer visible su labor y comunicarla a los ciudadanos europeos, emite comunicados de prensa para que los medios de comunicación puedan transmitir esta información de manera más comprensible. Así pues, en el último comunicado de prensa se hace una valoración del trabajo de la EFSA en el campo de los OMG. </w:t>
      </w:r>
    </w:p>
    <w:p w:rsidR="00AA37DE" w:rsidRDefault="00AA37DE" w:rsidP="00AA37DE">
      <w:pPr>
        <w:pStyle w:val="Default"/>
        <w:rPr>
          <w:sz w:val="22"/>
          <w:szCs w:val="22"/>
        </w:rPr>
      </w:pPr>
      <w:r>
        <w:rPr>
          <w:sz w:val="22"/>
          <w:szCs w:val="22"/>
        </w:rPr>
        <w:t xml:space="preserve">Texto originario de la EFSA, modificado (fragmentos). </w:t>
      </w:r>
    </w:p>
    <w:p w:rsidR="00AA37DE" w:rsidRDefault="00AA37DE" w:rsidP="00AA37DE">
      <w:pPr>
        <w:pStyle w:val="Default"/>
        <w:rPr>
          <w:sz w:val="22"/>
          <w:szCs w:val="22"/>
        </w:rPr>
      </w:pPr>
    </w:p>
    <w:p w:rsidR="00AA37DE" w:rsidRDefault="00AA37DE" w:rsidP="00AA37DE">
      <w:pPr>
        <w:pStyle w:val="Default"/>
        <w:rPr>
          <w:sz w:val="22"/>
          <w:szCs w:val="22"/>
        </w:rPr>
      </w:pPr>
    </w:p>
    <w:p w:rsidR="00AA37DE" w:rsidRDefault="00AA37DE" w:rsidP="00AA37DE">
      <w:pPr>
        <w:pStyle w:val="Default"/>
        <w:rPr>
          <w:sz w:val="22"/>
          <w:szCs w:val="22"/>
        </w:rPr>
      </w:pPr>
    </w:p>
    <w:p w:rsidR="00AA37DE" w:rsidRDefault="00AA37DE" w:rsidP="00AA37DE">
      <w:pPr>
        <w:pStyle w:val="Default"/>
        <w:rPr>
          <w:sz w:val="22"/>
          <w:szCs w:val="22"/>
        </w:rPr>
      </w:pPr>
    </w:p>
    <w:p w:rsidR="00AA37DE" w:rsidRDefault="00AA37DE" w:rsidP="00AA37DE">
      <w:pPr>
        <w:pStyle w:val="Default"/>
        <w:rPr>
          <w:b/>
          <w:bCs/>
          <w:color w:val="1F497D" w:themeColor="text2"/>
          <w:sz w:val="22"/>
          <w:szCs w:val="22"/>
        </w:rPr>
      </w:pPr>
      <w:r w:rsidRPr="00AA37DE">
        <w:rPr>
          <w:b/>
          <w:bCs/>
          <w:color w:val="1F497D" w:themeColor="text2"/>
          <w:sz w:val="22"/>
          <w:szCs w:val="22"/>
        </w:rPr>
        <w:t xml:space="preserve">COMISIÓN EUROPEA – COMUNICADO DE PRENSA </w:t>
      </w:r>
    </w:p>
    <w:p w:rsidR="00AA37DE" w:rsidRPr="00AA37DE" w:rsidRDefault="00AA37DE" w:rsidP="00AA37DE">
      <w:pPr>
        <w:pStyle w:val="Default"/>
        <w:rPr>
          <w:color w:val="1F497D" w:themeColor="text2"/>
          <w:sz w:val="22"/>
          <w:szCs w:val="22"/>
        </w:rPr>
      </w:pPr>
    </w:p>
    <w:p w:rsidR="00AA37DE" w:rsidRDefault="00AA37DE" w:rsidP="00AA37DE">
      <w:pPr>
        <w:pStyle w:val="Default"/>
        <w:rPr>
          <w:b/>
          <w:bCs/>
          <w:color w:val="1F497D" w:themeColor="text2"/>
          <w:sz w:val="22"/>
          <w:szCs w:val="22"/>
        </w:rPr>
      </w:pPr>
      <w:r w:rsidRPr="00AA37DE">
        <w:rPr>
          <w:b/>
          <w:bCs/>
          <w:color w:val="1F497D" w:themeColor="text2"/>
          <w:sz w:val="22"/>
          <w:szCs w:val="22"/>
        </w:rPr>
        <w:t xml:space="preserve">OMG: Los informes de evaluación ponen de manifiesto que la legislación de la UE va por buen camino </w:t>
      </w:r>
    </w:p>
    <w:p w:rsidR="00AA37DE" w:rsidRPr="00AA37DE" w:rsidRDefault="00AA37DE" w:rsidP="00AA37DE">
      <w:pPr>
        <w:pStyle w:val="Default"/>
        <w:rPr>
          <w:color w:val="1F497D" w:themeColor="text2"/>
          <w:sz w:val="22"/>
          <w:szCs w:val="22"/>
        </w:rPr>
      </w:pPr>
    </w:p>
    <w:p w:rsidR="00AA37DE" w:rsidRDefault="00AA37DE" w:rsidP="00AA37DE">
      <w:pPr>
        <w:pStyle w:val="Default"/>
        <w:rPr>
          <w:color w:val="1F497D" w:themeColor="text2"/>
          <w:sz w:val="22"/>
          <w:szCs w:val="22"/>
        </w:rPr>
      </w:pPr>
      <w:r w:rsidRPr="00AA37DE">
        <w:rPr>
          <w:color w:val="1F497D" w:themeColor="text2"/>
          <w:sz w:val="22"/>
          <w:szCs w:val="22"/>
        </w:rPr>
        <w:t xml:space="preserve">Bruselas, 28 de octubre de 2011 </w:t>
      </w:r>
    </w:p>
    <w:p w:rsidR="00AA37DE" w:rsidRPr="00AA37DE" w:rsidRDefault="00AA37DE" w:rsidP="00AA37DE">
      <w:pPr>
        <w:pStyle w:val="Default"/>
        <w:rPr>
          <w:color w:val="1F497D" w:themeColor="text2"/>
          <w:sz w:val="22"/>
          <w:szCs w:val="22"/>
        </w:rPr>
      </w:pP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Dos informes independientes de evaluación de la legislación de la Unión Europea en materia de organismos modificados genéticamente (OMG) llegan a la conclusión de que los objetivos de tal legislación gozan de apoyo generalizado y muestran que las recientes iniciativas legislativas de la Comisión van por buen camino.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Ambos informes se hacen eco de que los objetivos principales de tal legislación, como la protección de la salud y el medio ambiente y la creación del mercado interior, gozan del apoyo generalizado de los interesados directos y de las autoridades competentes, pues están en sintonía con las necesidades de la sociedad. También señalan, no obstante, que la situación puede mejorarse.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Ambos coinciden en que el sistema de autorización podría ser más eficiente, que cabría introducir más flexibilidad en el cultivo de OMG y que convendría seguir armonizando el proceso de evaluación del riesgo. La buena noticia es que para hacer frente a estas cuestiones específicas basta con determinados cambios, sin que sea necesario modificar el sistema en su totalidad.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Confirman los informes de evaluación que muchas de las acciones emprendidas por la Comisión Europea en los últimos meses van por el buen camino.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En primer lugar, entre estas acciones figuran las medidas adoptadas por la Comisión en julio de 2010 sobre el cultivo de OMG, que responden a la necesidad de más flexibilidad al respecto. Contienen una recomendación sobre la coexistencia de plantas modificadas y no modificadas genéticamente, que dará más flexibilidad a los Estados miembros para tomar en consideración las condiciones nacionales, regionales y locales al elaborar su legislación al respecto. La propuesta fundamental, que está actualmente debatiéndose en el Consejo y en el Parlamento, consiste en permitir que los Estados miembros restrinjan o prohíban el cultivo de OMG en su territorio. </w:t>
      </w:r>
    </w:p>
    <w:p w:rsidR="00AA37DE" w:rsidRPr="00AA37DE" w:rsidRDefault="00AA37DE" w:rsidP="00AA37DE">
      <w:pPr>
        <w:pStyle w:val="Default"/>
        <w:rPr>
          <w:color w:val="1F497D" w:themeColor="text2"/>
          <w:sz w:val="22"/>
          <w:szCs w:val="22"/>
        </w:rPr>
      </w:pPr>
      <w:r w:rsidRPr="00AA37DE">
        <w:rPr>
          <w:color w:val="1F497D" w:themeColor="text2"/>
          <w:sz w:val="22"/>
          <w:szCs w:val="22"/>
        </w:rPr>
        <w:t xml:space="preserve">En segundo lugar, la Comisión también ha hecho progresos para abordar el problema técnico de la presencia de bajo nivel de OMG no autorizados en productos importados para piensos. En julio entró en vigor una normativa de armonización para abordar esta presencia de bajo nivel en productos importados para piensos, que fue bien recibida por los Estados miembros y las empresas del sector. </w:t>
      </w:r>
    </w:p>
    <w:p w:rsidR="00AA37DE" w:rsidRDefault="00AA37DE" w:rsidP="00AA37DE">
      <w:pPr>
        <w:rPr>
          <w:color w:val="1F497D" w:themeColor="text2"/>
        </w:rPr>
      </w:pPr>
      <w:r w:rsidRPr="00AA37DE">
        <w:rPr>
          <w:color w:val="1F497D" w:themeColor="text2"/>
        </w:rPr>
        <w:t>En tercer lugar, la Comisión publicó en abril de 2011 un informe sobre las repercusiones socioeconómicas de los cultivos modificados genéticamente, que se basaba en las contribuciones de los Estados miembros, como habían pedido las conclusiones del Consejo de Medio Ambiente de 2008. A ello siguió el lanzamiento por la Comisión, el 18 de octubre de 2011, de un proceso para ayudar a los Estados miembros a recabar y compartir información.</w:t>
      </w:r>
    </w:p>
    <w:p w:rsidR="00AA37DE" w:rsidRDefault="00AA37DE" w:rsidP="00AA37DE">
      <w:pPr>
        <w:rPr>
          <w:color w:val="1F497D" w:themeColor="text2"/>
        </w:rPr>
      </w:pPr>
    </w:p>
    <w:p w:rsidR="00DB707F" w:rsidRDefault="00DB707F" w:rsidP="00DB707F">
      <w:pPr>
        <w:pStyle w:val="Default"/>
      </w:pPr>
    </w:p>
    <w:p w:rsidR="00DB707F" w:rsidRDefault="00DB707F" w:rsidP="00DB707F">
      <w:pPr>
        <w:pStyle w:val="Default"/>
        <w:rPr>
          <w:sz w:val="23"/>
          <w:szCs w:val="23"/>
        </w:rPr>
      </w:pPr>
      <w:r>
        <w:rPr>
          <w:b/>
          <w:bCs/>
          <w:sz w:val="23"/>
          <w:szCs w:val="23"/>
        </w:rPr>
        <w:t xml:space="preserve">2.4. Riesgos de los GMO para la salud pública: </w:t>
      </w:r>
    </w:p>
    <w:p w:rsidR="00DB707F" w:rsidRDefault="00DB707F" w:rsidP="00DB707F">
      <w:pPr>
        <w:pStyle w:val="Default"/>
        <w:rPr>
          <w:sz w:val="22"/>
          <w:szCs w:val="22"/>
        </w:rPr>
      </w:pPr>
      <w:r>
        <w:rPr>
          <w:sz w:val="22"/>
          <w:szCs w:val="22"/>
        </w:rPr>
        <w:t xml:space="preserve">• Alergias </w:t>
      </w:r>
    </w:p>
    <w:p w:rsidR="00DB707F" w:rsidRDefault="00DB707F" w:rsidP="00DB707F">
      <w:pPr>
        <w:pStyle w:val="Default"/>
        <w:rPr>
          <w:sz w:val="22"/>
          <w:szCs w:val="22"/>
        </w:rPr>
      </w:pPr>
      <w:r>
        <w:rPr>
          <w:sz w:val="22"/>
          <w:szCs w:val="22"/>
        </w:rPr>
        <w:t xml:space="preserve">Llamamos alergia alimentaria a la reacción adversa a determinadas sustancias de los alimentos o sus ingredientes, llamadas antígenos (son siempre proteínas), que provocan que el sistema inmunitario produzca anticuerpos específicos del tipo </w:t>
      </w:r>
      <w:proofErr w:type="spellStart"/>
      <w:r>
        <w:rPr>
          <w:sz w:val="22"/>
          <w:szCs w:val="22"/>
        </w:rPr>
        <w:t>IgE.Todos</w:t>
      </w:r>
      <w:proofErr w:type="spellEnd"/>
      <w:r>
        <w:rPr>
          <w:sz w:val="22"/>
          <w:szCs w:val="22"/>
        </w:rPr>
        <w:t xml:space="preserve"> los alimentos pueden ser desencadenante de una reacción alérgica porque todos, con menor o mayor cantidad, contienen proteínas. Sin embargo, el 90% de los casos se dan en: el pescado, los cacahuetes, las semillas de soja, la leche, los huevos, los crustáceos, las nueces y el trigo. </w:t>
      </w:r>
    </w:p>
    <w:p w:rsidR="00DB707F" w:rsidRDefault="00DB707F" w:rsidP="00DB707F">
      <w:pPr>
        <w:pStyle w:val="Default"/>
        <w:rPr>
          <w:sz w:val="21"/>
          <w:szCs w:val="21"/>
        </w:rPr>
      </w:pPr>
      <w:r>
        <w:rPr>
          <w:sz w:val="21"/>
          <w:szCs w:val="21"/>
        </w:rPr>
        <w:t xml:space="preserve">Según afirman grupos ecologistas, los alimentos transgénicos tienen introducidos genes no presentes de forma natural en su ADN, por tanto, podrán sintetizar nuevas proteínas no presentes de forma naturales en los alimentos. Este hecho provoca el siguiente problema: las personas alérgicas que tengan constancia de su determinada alergia a un alimento en concreto, no podrán saber si son o no alérgicos a los nuevos alimentos transgénicos ya que no podrán saber si la o las proteínas determinadas a las que son alérgicos están presentes en el alimento que están consumiendo, porque aparentemente este alimento no debería contener esa determinada proteína. </w:t>
      </w:r>
    </w:p>
    <w:p w:rsidR="00DB707F" w:rsidRDefault="00DB707F" w:rsidP="00DB707F">
      <w:pPr>
        <w:pStyle w:val="Default"/>
        <w:rPr>
          <w:sz w:val="22"/>
          <w:szCs w:val="22"/>
        </w:rPr>
      </w:pPr>
      <w:r>
        <w:rPr>
          <w:sz w:val="22"/>
          <w:szCs w:val="22"/>
        </w:rPr>
        <w:lastRenderedPageBreak/>
        <w:t xml:space="preserve">Cabe decir, como se observa en la entrevista realizada a Josep </w:t>
      </w:r>
      <w:proofErr w:type="spellStart"/>
      <w:r>
        <w:rPr>
          <w:sz w:val="22"/>
          <w:szCs w:val="22"/>
        </w:rPr>
        <w:t>Casacuberta</w:t>
      </w:r>
      <w:proofErr w:type="spellEnd"/>
      <w:r>
        <w:rPr>
          <w:sz w:val="22"/>
          <w:szCs w:val="22"/>
        </w:rPr>
        <w:t xml:space="preserve"> que todos los OMG destinados a consumo están regulados de forma que ya se tiene en cuenta el origen de los genes y por lo tanto de las proteínas que contienen, y comenta concretamente el caso de un OMG con proteínas de nuez de Brasil, y como tubo dicho proyecto que cancelarse por la previsión de falta de mercado o el propio impedimento de las autoridades. </w:t>
      </w:r>
    </w:p>
    <w:p w:rsidR="00DB707F" w:rsidRDefault="00DB707F" w:rsidP="00DB707F">
      <w:pPr>
        <w:pStyle w:val="Default"/>
        <w:rPr>
          <w:sz w:val="22"/>
          <w:szCs w:val="22"/>
        </w:rPr>
      </w:pPr>
      <w:r>
        <w:rPr>
          <w:sz w:val="22"/>
          <w:szCs w:val="22"/>
        </w:rPr>
        <w:t xml:space="preserve">Fuentes de anti-transgénicos argumentan también que existen alimentos transgénicos que pueden contener proteínas de organismos que nunca han sido consumidos como alimentos (como genes bacteriólogo, </w:t>
      </w:r>
      <w:proofErr w:type="gramStart"/>
      <w:r>
        <w:rPr>
          <w:sz w:val="22"/>
          <w:szCs w:val="22"/>
        </w:rPr>
        <w:t>plásmidos ...</w:t>
      </w:r>
      <w:proofErr w:type="gramEnd"/>
      <w:r>
        <w:rPr>
          <w:sz w:val="22"/>
          <w:szCs w:val="22"/>
        </w:rPr>
        <w:t xml:space="preserve">). Es posible que de estas proteínas algunas resultaran alérgicas, aunque no hay ningún método preciso para determinarlo. </w:t>
      </w:r>
    </w:p>
    <w:p w:rsidR="00DB707F" w:rsidRDefault="00DB707F" w:rsidP="00DB707F">
      <w:pPr>
        <w:pStyle w:val="Default"/>
        <w:rPr>
          <w:sz w:val="22"/>
          <w:szCs w:val="22"/>
        </w:rPr>
      </w:pPr>
    </w:p>
    <w:p w:rsidR="00DB707F" w:rsidRDefault="00DB707F" w:rsidP="00DB707F">
      <w:pPr>
        <w:pStyle w:val="Default"/>
        <w:rPr>
          <w:sz w:val="22"/>
          <w:szCs w:val="22"/>
        </w:rPr>
      </w:pPr>
    </w:p>
    <w:p w:rsidR="00DB707F" w:rsidRDefault="00DB707F" w:rsidP="00DB707F">
      <w:pPr>
        <w:pStyle w:val="Default"/>
        <w:rPr>
          <w:sz w:val="22"/>
          <w:szCs w:val="22"/>
        </w:rPr>
      </w:pPr>
    </w:p>
    <w:p w:rsidR="00DB707F" w:rsidRDefault="00DB707F" w:rsidP="00DB707F">
      <w:pPr>
        <w:pStyle w:val="Default"/>
        <w:rPr>
          <w:sz w:val="22"/>
          <w:szCs w:val="22"/>
        </w:rPr>
      </w:pPr>
    </w:p>
    <w:p w:rsidR="00DB707F" w:rsidRDefault="00DB707F" w:rsidP="00DB707F">
      <w:pPr>
        <w:pStyle w:val="Default"/>
        <w:rPr>
          <w:sz w:val="22"/>
          <w:szCs w:val="22"/>
        </w:rPr>
      </w:pPr>
      <w:r>
        <w:rPr>
          <w:sz w:val="22"/>
          <w:szCs w:val="22"/>
        </w:rPr>
        <w:t xml:space="preserve">Al respecto cabe destacar que la EFSA no ha encontrado índices de alergias mayores provocadas por alimentos que contienen OMG que por alimentos tradicionales. </w:t>
      </w:r>
    </w:p>
    <w:p w:rsidR="00DB707F" w:rsidRDefault="00DB707F" w:rsidP="00DB707F">
      <w:pPr>
        <w:pStyle w:val="Default"/>
        <w:rPr>
          <w:sz w:val="22"/>
          <w:szCs w:val="22"/>
        </w:rPr>
      </w:pPr>
      <w:r>
        <w:rPr>
          <w:sz w:val="22"/>
          <w:szCs w:val="22"/>
        </w:rPr>
        <w:t xml:space="preserve">También hay que decir que con los alimentos transgénicos se abre una oportunidad única para disminuir el número de alérgenos en los alimentos, consistente en introducir genes que supriman la expresión de los genes responsables de las proteínas alergias (hay que tener en cuenta que sólo de ciertos alimentos en principio). Destacamos finalmente en este </w:t>
      </w:r>
      <w:proofErr w:type="spellStart"/>
      <w:r>
        <w:rPr>
          <w:sz w:val="22"/>
          <w:szCs w:val="22"/>
        </w:rPr>
        <w:t>subapartado</w:t>
      </w:r>
      <w:proofErr w:type="spellEnd"/>
      <w:r>
        <w:rPr>
          <w:sz w:val="22"/>
          <w:szCs w:val="22"/>
        </w:rPr>
        <w:t xml:space="preserve"> una reflexión sugerida por el doctor </w:t>
      </w:r>
      <w:proofErr w:type="spellStart"/>
      <w:r>
        <w:rPr>
          <w:sz w:val="22"/>
          <w:szCs w:val="22"/>
        </w:rPr>
        <w:t>Casacuberta</w:t>
      </w:r>
      <w:proofErr w:type="spellEnd"/>
      <w:r>
        <w:rPr>
          <w:sz w:val="22"/>
          <w:szCs w:val="22"/>
        </w:rPr>
        <w:t xml:space="preserve">: nadie retira del mercado un producto que contiene alérgenos como el cacahuete, con un correcto etiquetaje, un alimento transgénico sería como mucho tan peligroso como un cacahuete, pero en cualquier caso, nadie invertiría en un alimento con riesgos sanitarios y la repercusión mediática que podría suponer. </w:t>
      </w:r>
    </w:p>
    <w:p w:rsidR="00DB707F" w:rsidRDefault="00DB707F" w:rsidP="00DB707F">
      <w:pPr>
        <w:pStyle w:val="Default"/>
        <w:rPr>
          <w:sz w:val="22"/>
          <w:szCs w:val="22"/>
        </w:rPr>
      </w:pPr>
      <w:r>
        <w:rPr>
          <w:sz w:val="22"/>
          <w:szCs w:val="22"/>
        </w:rPr>
        <w:t xml:space="preserve">• Otros riesgos </w:t>
      </w:r>
    </w:p>
    <w:p w:rsidR="00AA37DE" w:rsidRDefault="00DB707F" w:rsidP="00DB707F">
      <w:r>
        <w:t>La mayoría de posibles riesgos que se comentan aparte del riesgo de alergias, responde casi unánimemente a posibles situaciones hipotéticas, donde destacan resistencias de microorganismos por el uso de OMG que produzcan antibióticos o situaciones indeterminadas como por ejemplo el poder cancerígeno de los alimentos MG. Es notable destacar que la mayoría de microorganismos patógenos son especie específicos y por lo tanto un microorganismo que afecte a una planta difícilmente podría afectar directamente a la salud de un ser humano.</w:t>
      </w:r>
    </w:p>
    <w:p w:rsidR="00DB707F" w:rsidRDefault="00DB707F" w:rsidP="00DB707F"/>
    <w:p w:rsidR="00DB707F" w:rsidRDefault="00DB707F" w:rsidP="00DB707F">
      <w:pPr>
        <w:pStyle w:val="Default"/>
        <w:rPr>
          <w:sz w:val="22"/>
          <w:szCs w:val="22"/>
        </w:rPr>
      </w:pPr>
      <w:r>
        <w:rPr>
          <w:sz w:val="22"/>
          <w:szCs w:val="22"/>
        </w:rPr>
        <w:t xml:space="preserve">Un ejemplo de las polémicas entre científicos sobre la seguridad de los GMO es el de los estudios de </w:t>
      </w:r>
      <w:proofErr w:type="spellStart"/>
      <w:r>
        <w:rPr>
          <w:sz w:val="22"/>
          <w:szCs w:val="22"/>
        </w:rPr>
        <w:t>Séralini</w:t>
      </w:r>
      <w:proofErr w:type="spellEnd"/>
      <w:r>
        <w:rPr>
          <w:sz w:val="22"/>
          <w:szCs w:val="22"/>
        </w:rPr>
        <w:t xml:space="preserve">, que provocaron una reacción muy importante en los medios, apoyada en gran medida por los anti-GMO, los cuales se nutren de sus resultados para corroborar y hacer más fuertes sus argumentos. Esta noticia está sacada de EL PAÍS y fue escrita el mismo día en que se publicó el estudio en cuestión. </w:t>
      </w:r>
    </w:p>
    <w:p w:rsidR="00DB707F" w:rsidRDefault="00DB707F" w:rsidP="00DB707F">
      <w:pPr>
        <w:pStyle w:val="Default"/>
        <w:rPr>
          <w:sz w:val="22"/>
          <w:szCs w:val="22"/>
        </w:rPr>
      </w:pPr>
    </w:p>
    <w:p w:rsidR="00DB707F" w:rsidRDefault="00DB707F" w:rsidP="00DB707F">
      <w:pPr>
        <w:pStyle w:val="Default"/>
        <w:rPr>
          <w:sz w:val="22"/>
          <w:szCs w:val="22"/>
        </w:rPr>
      </w:pPr>
    </w:p>
    <w:p w:rsidR="00DB707F" w:rsidRPr="00DB707F" w:rsidRDefault="00DB707F" w:rsidP="00DB707F">
      <w:pPr>
        <w:pStyle w:val="Default"/>
        <w:rPr>
          <w:b/>
          <w:bCs/>
          <w:color w:val="1F497D" w:themeColor="text2"/>
          <w:sz w:val="28"/>
          <w:szCs w:val="28"/>
        </w:rPr>
      </w:pPr>
      <w:r w:rsidRPr="00DB707F">
        <w:rPr>
          <w:b/>
          <w:bCs/>
          <w:color w:val="1F497D" w:themeColor="text2"/>
          <w:sz w:val="28"/>
          <w:szCs w:val="28"/>
        </w:rPr>
        <w:t xml:space="preserve">Un estudio indica que ratas alimentadas con transgénicos tienen más tumores </w:t>
      </w:r>
    </w:p>
    <w:p w:rsidR="00DB707F" w:rsidRPr="00DB707F" w:rsidRDefault="00DB707F" w:rsidP="00DB707F">
      <w:pPr>
        <w:pStyle w:val="Default"/>
        <w:rPr>
          <w:color w:val="1F497D" w:themeColor="text2"/>
          <w:sz w:val="28"/>
          <w:szCs w:val="28"/>
        </w:rPr>
      </w:pPr>
    </w:p>
    <w:p w:rsidR="00DB707F" w:rsidRPr="00DB707F" w:rsidRDefault="00DB707F" w:rsidP="00DB707F">
      <w:pPr>
        <w:pStyle w:val="Default"/>
        <w:rPr>
          <w:b/>
          <w:bCs/>
          <w:color w:val="1F497D" w:themeColor="text2"/>
          <w:sz w:val="22"/>
          <w:szCs w:val="22"/>
        </w:rPr>
      </w:pPr>
      <w:r w:rsidRPr="00DB707F">
        <w:rPr>
          <w:b/>
          <w:bCs/>
          <w:color w:val="1F497D" w:themeColor="text2"/>
          <w:sz w:val="22"/>
          <w:szCs w:val="22"/>
        </w:rPr>
        <w:t xml:space="preserve">El trabajo es el primero que señala un riesgo real en estos cultivos; La Agencia Europea de Seguridad Alimentaria investigará los resultados; Muchos científicos dudan del rigor del trabajo </w:t>
      </w: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Los tumores del tamaño de una pelota de ping-pong detectados en ratas alimentadas con maíz transgénico por un equipo de investigadores podrían convertirse en la primera prueba científica de los riesgos asociados a los alimentos modificados genéticamente. </w:t>
      </w:r>
      <w:r w:rsidRPr="00DB707F">
        <w:rPr>
          <w:b/>
          <w:bCs/>
          <w:color w:val="1F497D" w:themeColor="text2"/>
          <w:sz w:val="22"/>
          <w:szCs w:val="22"/>
        </w:rPr>
        <w:t>“Por primera vez en el mundo, se ha evaluado un transgénico y un pesticida por su impacto en la salud de una forma más amplia que la realizada hasta ahora por los Gobiernos y la industria. Los resultados son alarmantes”</w:t>
      </w:r>
      <w:r w:rsidRPr="00DB707F">
        <w:rPr>
          <w:color w:val="1F497D" w:themeColor="text2"/>
          <w:sz w:val="22"/>
          <w:szCs w:val="22"/>
        </w:rPr>
        <w:t xml:space="preserve">, ha señalado Gilles-Eric </w:t>
      </w:r>
      <w:proofErr w:type="spellStart"/>
      <w:r w:rsidRPr="00DB707F">
        <w:rPr>
          <w:color w:val="1F497D" w:themeColor="text2"/>
          <w:sz w:val="22"/>
          <w:szCs w:val="22"/>
        </w:rPr>
        <w:t>Séralini</w:t>
      </w:r>
      <w:proofErr w:type="spellEnd"/>
      <w:r w:rsidRPr="00DB707F">
        <w:rPr>
          <w:color w:val="1F497D" w:themeColor="text2"/>
          <w:sz w:val="22"/>
          <w:szCs w:val="22"/>
        </w:rPr>
        <w:t xml:space="preserve">, director del estudio realizado por la Universidad de Caen, en el oeste de Francia, y publicada por la revista </w:t>
      </w:r>
      <w:proofErr w:type="spellStart"/>
      <w:r w:rsidRPr="00DB707F">
        <w:rPr>
          <w:color w:val="1F497D" w:themeColor="text2"/>
          <w:sz w:val="22"/>
          <w:szCs w:val="22"/>
        </w:rPr>
        <w:t>Food</w:t>
      </w:r>
      <w:proofErr w:type="spellEnd"/>
      <w:r w:rsidRPr="00DB707F">
        <w:rPr>
          <w:color w:val="1F497D" w:themeColor="text2"/>
          <w:sz w:val="22"/>
          <w:szCs w:val="22"/>
        </w:rPr>
        <w:t xml:space="preserve"> and </w:t>
      </w:r>
      <w:proofErr w:type="spellStart"/>
      <w:r w:rsidRPr="00DB707F">
        <w:rPr>
          <w:color w:val="1F497D" w:themeColor="text2"/>
          <w:sz w:val="22"/>
          <w:szCs w:val="22"/>
        </w:rPr>
        <w:t>ChemicalToxicology</w:t>
      </w:r>
      <w:proofErr w:type="spellEnd"/>
      <w:r w:rsidRPr="00DB707F">
        <w:rPr>
          <w:color w:val="1F497D" w:themeColor="text2"/>
          <w:sz w:val="22"/>
          <w:szCs w:val="22"/>
        </w:rPr>
        <w:t xml:space="preserve">.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Los científicos franceses han investigado durante dos años a 200 ratas de laboratorio a las que han dividido en tres grupos: las que alimentaron con el maíz transgénico </w:t>
      </w:r>
      <w:r w:rsidRPr="00DB707F">
        <w:rPr>
          <w:b/>
          <w:bCs/>
          <w:color w:val="1F497D" w:themeColor="text2"/>
          <w:sz w:val="22"/>
          <w:szCs w:val="22"/>
        </w:rPr>
        <w:t xml:space="preserve">NK603 </w:t>
      </w:r>
      <w:r w:rsidRPr="00DB707F">
        <w:rPr>
          <w:color w:val="1F497D" w:themeColor="text2"/>
          <w:sz w:val="22"/>
          <w:szCs w:val="22"/>
        </w:rPr>
        <w:t xml:space="preserve">en distintas proporciones (11%, 22% y 33% de su dieta), aquellas a las que además le suministraron </w:t>
      </w:r>
      <w:proofErr w:type="spellStart"/>
      <w:r w:rsidRPr="00DB707F">
        <w:rPr>
          <w:b/>
          <w:bCs/>
          <w:color w:val="1F497D" w:themeColor="text2"/>
          <w:sz w:val="22"/>
          <w:szCs w:val="22"/>
        </w:rPr>
        <w:t>Roundup</w:t>
      </w:r>
      <w:proofErr w:type="spellEnd"/>
      <w:r w:rsidRPr="00DB707F">
        <w:rPr>
          <w:b/>
          <w:bCs/>
          <w:color w:val="1F497D" w:themeColor="text2"/>
          <w:sz w:val="22"/>
          <w:szCs w:val="22"/>
        </w:rPr>
        <w:t xml:space="preserve">, </w:t>
      </w:r>
      <w:r w:rsidRPr="00DB707F">
        <w:rPr>
          <w:color w:val="1F497D" w:themeColor="text2"/>
          <w:sz w:val="22"/>
          <w:szCs w:val="22"/>
        </w:rPr>
        <w:t xml:space="preserve">el herbicida al que la modificación genética las hace resistentes; y los roedores que crecieron tan solo con maíz no transgénico. Los resultados son que pasados 17 meses desde el comienzo del estudio, habían muerto cinco veces más animales masculinos alimentados con el maíz modificado genéticamente.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La revista </w:t>
      </w:r>
      <w:proofErr w:type="spellStart"/>
      <w:r w:rsidRPr="00DB707F">
        <w:rPr>
          <w:color w:val="1F497D" w:themeColor="text2"/>
          <w:sz w:val="22"/>
          <w:szCs w:val="22"/>
        </w:rPr>
        <w:t>Food</w:t>
      </w:r>
      <w:proofErr w:type="spellEnd"/>
      <w:r w:rsidRPr="00DB707F">
        <w:rPr>
          <w:color w:val="1F497D" w:themeColor="text2"/>
          <w:sz w:val="22"/>
          <w:szCs w:val="22"/>
        </w:rPr>
        <w:t xml:space="preserve"> and </w:t>
      </w:r>
      <w:proofErr w:type="spellStart"/>
      <w:r w:rsidRPr="00DB707F">
        <w:rPr>
          <w:color w:val="1F497D" w:themeColor="text2"/>
          <w:sz w:val="22"/>
          <w:szCs w:val="22"/>
        </w:rPr>
        <w:t>ChemicalToxicology</w:t>
      </w:r>
      <w:proofErr w:type="spellEnd"/>
      <w:r w:rsidRPr="00DB707F">
        <w:rPr>
          <w:color w:val="1F497D" w:themeColor="text2"/>
          <w:sz w:val="22"/>
          <w:szCs w:val="22"/>
        </w:rPr>
        <w:t xml:space="preserve"> ha publicado otros estudios elaborados por la empresa estadounidense Monsanto –fabricante tanto del transgénico como del herbicida analizados- en los que se niega la toxicidad de los alimentos transgénicos, pero siempre sobre con un periodo de análisis de 90 días, mientras que en esta investigación el plazo se ha ampliado a dos años. </w:t>
      </w:r>
      <w:r w:rsidRPr="00DB707F">
        <w:rPr>
          <w:b/>
          <w:bCs/>
          <w:color w:val="1F497D" w:themeColor="text2"/>
          <w:sz w:val="22"/>
          <w:szCs w:val="22"/>
        </w:rPr>
        <w:t>“Los resultados revelan mortalidades más rápidas y más fuertes en las ratas que han consumido los dos productos”</w:t>
      </w:r>
      <w:r w:rsidRPr="00DB707F">
        <w:rPr>
          <w:color w:val="1F497D" w:themeColor="text2"/>
          <w:sz w:val="22"/>
          <w:szCs w:val="22"/>
        </w:rPr>
        <w:t xml:space="preserve">, asegura </w:t>
      </w:r>
      <w:proofErr w:type="spellStart"/>
      <w:r w:rsidRPr="00DB707F">
        <w:rPr>
          <w:color w:val="1F497D" w:themeColor="text2"/>
          <w:sz w:val="22"/>
          <w:szCs w:val="22"/>
        </w:rPr>
        <w:t>Séralini</w:t>
      </w:r>
      <w:proofErr w:type="spellEnd"/>
      <w:r w:rsidRPr="00DB707F">
        <w:rPr>
          <w:color w:val="1F497D" w:themeColor="text2"/>
          <w:sz w:val="22"/>
          <w:szCs w:val="22"/>
        </w:rPr>
        <w:t xml:space="preserve">. </w:t>
      </w:r>
    </w:p>
    <w:p w:rsidR="00DB707F" w:rsidRPr="00DB707F" w:rsidRDefault="00DB707F" w:rsidP="00DB707F">
      <w:pPr>
        <w:pStyle w:val="Default"/>
        <w:rPr>
          <w:color w:val="1F497D" w:themeColor="text2"/>
          <w:sz w:val="22"/>
          <w:szCs w:val="22"/>
        </w:rPr>
      </w:pPr>
      <w:r w:rsidRPr="00DB707F">
        <w:rPr>
          <w:color w:val="1F497D" w:themeColor="text2"/>
          <w:sz w:val="22"/>
          <w:szCs w:val="22"/>
        </w:rPr>
        <w:lastRenderedPageBreak/>
        <w:t xml:space="preserve">Los efectos del estudio han llegado de inmediato. El ministro de Agricultura de Francia, </w:t>
      </w:r>
      <w:proofErr w:type="spellStart"/>
      <w:r w:rsidRPr="00DB707F">
        <w:rPr>
          <w:color w:val="1F497D" w:themeColor="text2"/>
          <w:sz w:val="22"/>
          <w:szCs w:val="22"/>
        </w:rPr>
        <w:t>Stéphane</w:t>
      </w:r>
      <w:proofErr w:type="spellEnd"/>
      <w:r w:rsidRPr="00DB707F">
        <w:rPr>
          <w:color w:val="1F497D" w:themeColor="text2"/>
          <w:sz w:val="22"/>
          <w:szCs w:val="22"/>
        </w:rPr>
        <w:t xml:space="preserve"> Le </w:t>
      </w:r>
      <w:proofErr w:type="spellStart"/>
      <w:r w:rsidRPr="00DB707F">
        <w:rPr>
          <w:color w:val="1F497D" w:themeColor="text2"/>
          <w:sz w:val="22"/>
          <w:szCs w:val="22"/>
        </w:rPr>
        <w:t>Foll</w:t>
      </w:r>
      <w:proofErr w:type="spellEnd"/>
      <w:r w:rsidRPr="00DB707F">
        <w:rPr>
          <w:color w:val="1F497D" w:themeColor="text2"/>
          <w:sz w:val="22"/>
          <w:szCs w:val="22"/>
        </w:rPr>
        <w:t xml:space="preserve">, ha reclamado que los procedimientos de homologación de alimentos transgénicos en la UE sean más estrictos. París ya había activado en febrero de 2008 una “cláusula de salvaguarda” para saltarse el visto bueno de las autoridades europeas al maíz transgénico MON810 fabricado por Monsanto. </w:t>
      </w:r>
    </w:p>
    <w:p w:rsidR="00DB707F" w:rsidRDefault="00DB707F" w:rsidP="00DB707F">
      <w:pPr>
        <w:pStyle w:val="Default"/>
        <w:rPr>
          <w:b/>
          <w:bCs/>
          <w:color w:val="1F497D" w:themeColor="text2"/>
          <w:sz w:val="22"/>
          <w:szCs w:val="22"/>
        </w:rPr>
      </w:pPr>
      <w:r w:rsidRPr="00DB707F">
        <w:rPr>
          <w:color w:val="1F497D" w:themeColor="text2"/>
          <w:sz w:val="22"/>
          <w:szCs w:val="22"/>
        </w:rPr>
        <w:t xml:space="preserve">El eurodiputado verde, José </w:t>
      </w:r>
      <w:proofErr w:type="spellStart"/>
      <w:r w:rsidRPr="00DB707F">
        <w:rPr>
          <w:color w:val="1F497D" w:themeColor="text2"/>
          <w:sz w:val="22"/>
          <w:szCs w:val="22"/>
        </w:rPr>
        <w:t>Bové</w:t>
      </w:r>
      <w:proofErr w:type="spellEnd"/>
      <w:r w:rsidRPr="00DB707F">
        <w:rPr>
          <w:color w:val="1F497D" w:themeColor="text2"/>
          <w:sz w:val="22"/>
          <w:szCs w:val="22"/>
        </w:rPr>
        <w:t xml:space="preserve">, uno de los mayores opositores a los productos modificados genéticamente en la Cámara </w:t>
      </w:r>
      <w:proofErr w:type="spellStart"/>
      <w:r w:rsidRPr="00DB707F">
        <w:rPr>
          <w:color w:val="1F497D" w:themeColor="text2"/>
          <w:sz w:val="22"/>
          <w:szCs w:val="22"/>
        </w:rPr>
        <w:t>Euroepa</w:t>
      </w:r>
      <w:proofErr w:type="spellEnd"/>
      <w:r w:rsidRPr="00DB707F">
        <w:rPr>
          <w:color w:val="1F497D" w:themeColor="text2"/>
          <w:sz w:val="22"/>
          <w:szCs w:val="22"/>
        </w:rPr>
        <w:t xml:space="preserve">, ha pedido a Bruselas que suspenda inmediatamente la autorización de este tipo de alimentos. La Comisión Europea respondió que ha pedido a la agencia encargada de la seguridad alimentaria que examine los resultados del estudio. “Si se demuestran científicamente estos hechos, extraeremos nuestras consecuencias”, aseguró un portavoz comunitario. </w:t>
      </w:r>
      <w:r w:rsidRPr="00DB707F">
        <w:rPr>
          <w:b/>
          <w:bCs/>
          <w:color w:val="1F497D" w:themeColor="text2"/>
          <w:sz w:val="22"/>
          <w:szCs w:val="22"/>
        </w:rPr>
        <w:t xml:space="preserve">El primer efecto podría ser congelar la petición de Monsanto para renovar el permiso para cultivar su semilla transgénica MON 810. </w:t>
      </w:r>
    </w:p>
    <w:p w:rsidR="00DB707F" w:rsidRDefault="00DB707F" w:rsidP="00DB707F">
      <w:pPr>
        <w:pStyle w:val="Default"/>
        <w:rPr>
          <w:b/>
          <w:bCs/>
          <w:color w:val="1F497D" w:themeColor="text2"/>
          <w:sz w:val="22"/>
          <w:szCs w:val="22"/>
        </w:rPr>
      </w:pPr>
    </w:p>
    <w:p w:rsidR="00DB707F" w:rsidRDefault="00DB707F" w:rsidP="00DB707F">
      <w:pPr>
        <w:pStyle w:val="Default"/>
        <w:rPr>
          <w:b/>
          <w:bCs/>
          <w:color w:val="1F497D" w:themeColor="text2"/>
          <w:sz w:val="22"/>
          <w:szCs w:val="22"/>
        </w:rPr>
      </w:pPr>
    </w:p>
    <w:p w:rsidR="00DB707F" w:rsidRDefault="00DB707F" w:rsidP="00DB707F">
      <w:pPr>
        <w:pStyle w:val="Default"/>
        <w:rPr>
          <w:b/>
          <w:bCs/>
          <w:color w:val="1F497D" w:themeColor="text2"/>
          <w:sz w:val="22"/>
          <w:szCs w:val="22"/>
        </w:rPr>
      </w:pPr>
    </w:p>
    <w:p w:rsidR="00DB707F" w:rsidRDefault="00DB707F" w:rsidP="00DB707F">
      <w:pPr>
        <w:pStyle w:val="Default"/>
        <w:rPr>
          <w:b/>
          <w:bCs/>
          <w:color w:val="1F497D" w:themeColor="text2"/>
          <w:sz w:val="22"/>
          <w:szCs w:val="22"/>
        </w:rPr>
      </w:pP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Pero la rotundidad del estudio no ha convencido a todos. Para empezar, por el perfil del principal investigador, conocido por sus posturas </w:t>
      </w:r>
      <w:proofErr w:type="spellStart"/>
      <w:r w:rsidRPr="00DB707F">
        <w:rPr>
          <w:color w:val="1F497D" w:themeColor="text2"/>
          <w:sz w:val="22"/>
          <w:szCs w:val="22"/>
        </w:rPr>
        <w:t>antitransgénicos</w:t>
      </w:r>
      <w:proofErr w:type="spellEnd"/>
      <w:r w:rsidRPr="00DB707F">
        <w:rPr>
          <w:color w:val="1F497D" w:themeColor="text2"/>
          <w:sz w:val="22"/>
          <w:szCs w:val="22"/>
        </w:rPr>
        <w:t xml:space="preserve"> y por haber participado en el grupo de expertos del Gobierno francés para oponerse a la posibilidad de que se introdujeran más variedades de estos cultivos. </w:t>
      </w:r>
    </w:p>
    <w:p w:rsidR="00DB707F" w:rsidRDefault="00DB707F" w:rsidP="00DB707F">
      <w:pPr>
        <w:rPr>
          <w:b/>
          <w:bCs/>
          <w:color w:val="1F497D" w:themeColor="text2"/>
        </w:rPr>
      </w:pPr>
      <w:r w:rsidRPr="00DB707F">
        <w:rPr>
          <w:color w:val="1F497D" w:themeColor="text2"/>
        </w:rPr>
        <w:t>El profesor de la Universidad Autónoma de Madrid e investigador y director de Cultura Científica del Centro de Biología Molecular Severo Ochoa José Antonio López Guerrero muestra muchas dudas sobre el trabajo</w:t>
      </w:r>
      <w:r w:rsidRPr="00DB707F">
        <w:rPr>
          <w:b/>
          <w:bCs/>
          <w:color w:val="1F497D" w:themeColor="text2"/>
        </w:rPr>
        <w:t>.</w:t>
      </w:r>
    </w:p>
    <w:p w:rsidR="00DB707F" w:rsidRDefault="00DB707F" w:rsidP="00DB707F">
      <w:pPr>
        <w:rPr>
          <w:b/>
          <w:bCs/>
          <w:color w:val="1F497D" w:themeColor="text2"/>
        </w:rPr>
      </w:pPr>
    </w:p>
    <w:p w:rsidR="00DB707F" w:rsidRPr="00DB707F" w:rsidRDefault="00DB707F" w:rsidP="00DB707F">
      <w:pPr>
        <w:pStyle w:val="Default"/>
        <w:rPr>
          <w:color w:val="1F497D" w:themeColor="text2"/>
          <w:sz w:val="22"/>
          <w:szCs w:val="22"/>
        </w:rPr>
      </w:pPr>
      <w:r w:rsidRPr="00DB707F">
        <w:rPr>
          <w:b/>
          <w:bCs/>
          <w:color w:val="1F497D" w:themeColor="text2"/>
          <w:sz w:val="22"/>
          <w:szCs w:val="22"/>
        </w:rPr>
        <w:t>“Es la primera vez que se publica uno con estos resultados, y la revista no es de un gran índice de impacto”</w:t>
      </w:r>
      <w:r w:rsidRPr="00DB707F">
        <w:rPr>
          <w:color w:val="1F497D" w:themeColor="text2"/>
          <w:sz w:val="22"/>
          <w:szCs w:val="22"/>
        </w:rPr>
        <w:t xml:space="preserve">, dice como primera salvaguarda. Pero, sobre todo, él opina –y afirma que lo ha comentado con colegas- que “el trabajo parece muy sesgado”. “Sería deseable que se repitiera con controles mejores y en más número. Con los del artículo, no se pasaría un análisis estadístico serio. Parece que todo estaba diseñado para dar estos resultados”, dice. En esta línea, apunta a que el animal elegido parece hecho a propósito para que presentara anomalías. </w:t>
      </w:r>
      <w:r w:rsidRPr="00DB707F">
        <w:rPr>
          <w:b/>
          <w:bCs/>
          <w:color w:val="1F497D" w:themeColor="text2"/>
          <w:sz w:val="22"/>
          <w:szCs w:val="22"/>
        </w:rPr>
        <w:t xml:space="preserve">“Yo he trabajado con ese tipo de rata, la </w:t>
      </w:r>
      <w:proofErr w:type="spellStart"/>
      <w:r w:rsidRPr="00DB707F">
        <w:rPr>
          <w:b/>
          <w:bCs/>
          <w:color w:val="1F497D" w:themeColor="text2"/>
          <w:sz w:val="22"/>
          <w:szCs w:val="22"/>
        </w:rPr>
        <w:t>Dawley</w:t>
      </w:r>
      <w:proofErr w:type="spellEnd"/>
      <w:r w:rsidRPr="00DB707F">
        <w:rPr>
          <w:b/>
          <w:bCs/>
          <w:color w:val="1F497D" w:themeColor="text2"/>
          <w:sz w:val="22"/>
          <w:szCs w:val="22"/>
        </w:rPr>
        <w:t>, y es muy sensible a las mutaciones”</w:t>
      </w:r>
      <w:r w:rsidRPr="00DB707F">
        <w:rPr>
          <w:color w:val="1F497D" w:themeColor="text2"/>
          <w:sz w:val="22"/>
          <w:szCs w:val="22"/>
        </w:rPr>
        <w:t xml:space="preserve">, añade. Pero, sobre todo, su argumento base, que es el que le hace dudar –“que no rechazar de plano hasta que haya más comprobaciones”- es que “en Estados Unidos, en 20 años, no ha habido ni un solo caso de ingreso hospitalario por consumo de transgénicos”. “En cambio”, apunta como contraste, “cultivos ecológicos como el de los brotes de soja en Alemania que causaron la falsa crisis del pepino han acabado con muertos”.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En la web de información científica </w:t>
      </w:r>
      <w:proofErr w:type="spellStart"/>
      <w:r w:rsidRPr="00DB707F">
        <w:rPr>
          <w:color w:val="1F497D" w:themeColor="text2"/>
          <w:sz w:val="22"/>
          <w:szCs w:val="22"/>
        </w:rPr>
        <w:t>Science</w:t>
      </w:r>
      <w:proofErr w:type="spellEnd"/>
      <w:r w:rsidRPr="00DB707F">
        <w:rPr>
          <w:color w:val="1F497D" w:themeColor="text2"/>
          <w:sz w:val="22"/>
          <w:szCs w:val="22"/>
        </w:rPr>
        <w:t xml:space="preserve"> Media Centre, Maurice </w:t>
      </w:r>
      <w:proofErr w:type="spellStart"/>
      <w:r w:rsidRPr="00DB707F">
        <w:rPr>
          <w:color w:val="1F497D" w:themeColor="text2"/>
          <w:sz w:val="22"/>
          <w:szCs w:val="22"/>
        </w:rPr>
        <w:t>Moloney</w:t>
      </w:r>
      <w:proofErr w:type="spellEnd"/>
      <w:r w:rsidRPr="00DB707F">
        <w:rPr>
          <w:color w:val="1F497D" w:themeColor="text2"/>
          <w:sz w:val="22"/>
          <w:szCs w:val="22"/>
        </w:rPr>
        <w:t xml:space="preserve">, del Instituto de Investigación </w:t>
      </w:r>
      <w:proofErr w:type="spellStart"/>
      <w:r w:rsidRPr="00DB707F">
        <w:rPr>
          <w:color w:val="1F497D" w:themeColor="text2"/>
          <w:sz w:val="22"/>
          <w:szCs w:val="22"/>
        </w:rPr>
        <w:t>Rothamsted</w:t>
      </w:r>
      <w:proofErr w:type="spellEnd"/>
      <w:r w:rsidRPr="00DB707F">
        <w:rPr>
          <w:color w:val="1F497D" w:themeColor="text2"/>
          <w:sz w:val="22"/>
          <w:szCs w:val="22"/>
        </w:rPr>
        <w:t xml:space="preserve">, coincide en las críticas al ensayo. “Aunque el artículo ha sido publicado en una revista con revisión por pares [otros científicos], hay anomalías que deberían haber sido resueltas durante ese proceso. Para un texto con un hallazgo potencialmente tan importante, habría sido más satisfactorio haber visto algo con un análisis estadístico más convencional”, escribe </w:t>
      </w:r>
      <w:proofErr w:type="spellStart"/>
      <w:r w:rsidRPr="00DB707F">
        <w:rPr>
          <w:color w:val="1F497D" w:themeColor="text2"/>
          <w:sz w:val="22"/>
          <w:szCs w:val="22"/>
        </w:rPr>
        <w:t>Moloney</w:t>
      </w:r>
      <w:proofErr w:type="spellEnd"/>
      <w:r w:rsidRPr="00DB707F">
        <w:rPr>
          <w:color w:val="1F497D" w:themeColor="text2"/>
          <w:sz w:val="22"/>
          <w:szCs w:val="22"/>
        </w:rPr>
        <w:t xml:space="preserve">. El investigador describe los fallos metodológicos y abunda en que el animal escogido tiene una gran tendencia a presentar tumores en cualquier circunstancia (y que, de hecho, también aparecieron en los grupos de control). </w:t>
      </w:r>
    </w:p>
    <w:p w:rsidR="00DB707F" w:rsidRPr="00DB707F" w:rsidRDefault="00DB707F" w:rsidP="00DB707F">
      <w:pPr>
        <w:pStyle w:val="Default"/>
        <w:rPr>
          <w:rFonts w:ascii="Georgia" w:hAnsi="Georgia" w:cs="Georgia"/>
          <w:color w:val="1F497D" w:themeColor="text2"/>
          <w:sz w:val="28"/>
          <w:szCs w:val="28"/>
        </w:rPr>
      </w:pPr>
      <w:r w:rsidRPr="00DB707F">
        <w:rPr>
          <w:rFonts w:ascii="Georgia" w:hAnsi="Georgia" w:cs="Georgia"/>
          <w:i/>
          <w:iCs/>
          <w:color w:val="1F497D" w:themeColor="text2"/>
          <w:sz w:val="28"/>
          <w:szCs w:val="28"/>
        </w:rPr>
        <w:t xml:space="preserve">El trabajo me parece muy sesgado", afirma un investigador español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Coincide con él David </w:t>
      </w:r>
      <w:proofErr w:type="spellStart"/>
      <w:r w:rsidRPr="00DB707F">
        <w:rPr>
          <w:color w:val="1F497D" w:themeColor="text2"/>
          <w:sz w:val="22"/>
          <w:szCs w:val="22"/>
        </w:rPr>
        <w:t>Spiegelhalter</w:t>
      </w:r>
      <w:proofErr w:type="spellEnd"/>
      <w:r w:rsidRPr="00DB707F">
        <w:rPr>
          <w:color w:val="1F497D" w:themeColor="text2"/>
          <w:sz w:val="22"/>
          <w:szCs w:val="22"/>
        </w:rPr>
        <w:t xml:space="preserve">, de la Universidad de Cambridge: “No estoy dispuesto a aceptar estos resultados a no ser que se repliquen [que otros grupos científicos los repitan] de manera apropiada”, ha escrito. Wendy </w:t>
      </w:r>
      <w:proofErr w:type="spellStart"/>
      <w:r w:rsidRPr="00DB707F">
        <w:rPr>
          <w:color w:val="1F497D" w:themeColor="text2"/>
          <w:sz w:val="22"/>
          <w:szCs w:val="22"/>
        </w:rPr>
        <w:t>Harwood</w:t>
      </w:r>
      <w:proofErr w:type="spellEnd"/>
      <w:r w:rsidRPr="00DB707F">
        <w:rPr>
          <w:color w:val="1F497D" w:themeColor="text2"/>
          <w:sz w:val="22"/>
          <w:szCs w:val="22"/>
        </w:rPr>
        <w:t xml:space="preserve">, del John </w:t>
      </w:r>
      <w:proofErr w:type="spellStart"/>
      <w:r w:rsidRPr="00DB707F">
        <w:rPr>
          <w:color w:val="1F497D" w:themeColor="text2"/>
          <w:sz w:val="22"/>
          <w:szCs w:val="22"/>
        </w:rPr>
        <w:t>Innes</w:t>
      </w:r>
      <w:proofErr w:type="spellEnd"/>
      <w:r w:rsidRPr="00DB707F">
        <w:rPr>
          <w:color w:val="1F497D" w:themeColor="text2"/>
          <w:sz w:val="22"/>
          <w:szCs w:val="22"/>
        </w:rPr>
        <w:t xml:space="preserve"> Centre, coincide en las críticas, aunque señala que hay una parte del estudio que parece más sólida: el riesgo de consumir el insecticida.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Curiosamente, el fabricante del maíz, Monsanto, ha tenido una reacción más cauta. “De la misma forma que nosotros nos tomamos muy en serio todas las reclamaciones dirigidas a nuestros productos, nos gustaría que éstas mantuviesen el mismo nivel de escrutinio científico que nuestros productos. No es la primera vez que se reciben denuncias por parte de estas mismas personas así como de otros grupos de presión que no cumplen con estos criterios. Las denuncias presentadas con anterioridad han sido rechazadas, posteriormente, a través de otros artículos revisados por otros científicos así como por la Autoridad Europea de Seguridad Alimentaria (EFSA)”, indica la multinacional en una nota. </w:t>
      </w:r>
    </w:p>
    <w:p w:rsidR="00DB707F" w:rsidRPr="00DB707F" w:rsidRDefault="00DB707F" w:rsidP="00DB707F">
      <w:pPr>
        <w:pStyle w:val="Default"/>
        <w:rPr>
          <w:rFonts w:cstheme="minorBidi"/>
          <w:color w:val="1F497D" w:themeColor="text2"/>
        </w:rPr>
        <w:sectPr w:rsidR="00DB707F" w:rsidRPr="00DB707F">
          <w:pgSz w:w="11899" w:h="17340"/>
          <w:pgMar w:top="543" w:right="574" w:bottom="898" w:left="561" w:header="720" w:footer="720" w:gutter="0"/>
          <w:cols w:space="720"/>
          <w:noEndnote/>
        </w:sectPr>
      </w:pPr>
    </w:p>
    <w:p w:rsidR="00DB707F" w:rsidRPr="00DB707F" w:rsidRDefault="00DB707F" w:rsidP="00DB707F">
      <w:pPr>
        <w:pStyle w:val="Default"/>
        <w:rPr>
          <w:color w:val="1F497D" w:themeColor="text2"/>
          <w:sz w:val="22"/>
          <w:szCs w:val="22"/>
        </w:rPr>
      </w:pPr>
      <w:r w:rsidRPr="00DB707F">
        <w:rPr>
          <w:rFonts w:cstheme="minorBidi"/>
          <w:color w:val="1F497D" w:themeColor="text2"/>
          <w:sz w:val="22"/>
          <w:szCs w:val="22"/>
        </w:rPr>
        <w:lastRenderedPageBreak/>
        <w:t xml:space="preserve">De hecho, la EFSA publicó su último informe sobre este tipo concreto de maíz transgénico en junio de 2009, y las conclusiones fueron que </w:t>
      </w:r>
      <w:r w:rsidRPr="00DB707F">
        <w:rPr>
          <w:b/>
          <w:bCs/>
          <w:color w:val="1F497D" w:themeColor="text2"/>
          <w:sz w:val="22"/>
          <w:szCs w:val="22"/>
        </w:rPr>
        <w:t>“es tan seguro en lo que se refiere a los efectos sobre la salud humana y animal y el medio ambiente como su contraparte, el maíz convencional”</w:t>
      </w:r>
      <w:r w:rsidRPr="00DB707F">
        <w:rPr>
          <w:color w:val="1F497D" w:themeColor="text2"/>
          <w:sz w:val="22"/>
          <w:szCs w:val="22"/>
        </w:rPr>
        <w:t xml:space="preserve">. Más tarde ha </w:t>
      </w:r>
      <w:proofErr w:type="spellStart"/>
      <w:r w:rsidRPr="00DB707F">
        <w:rPr>
          <w:color w:val="1F497D" w:themeColor="text2"/>
          <w:sz w:val="22"/>
          <w:szCs w:val="22"/>
        </w:rPr>
        <w:t>rpetido</w:t>
      </w:r>
      <w:proofErr w:type="spellEnd"/>
      <w:r w:rsidRPr="00DB707F">
        <w:rPr>
          <w:color w:val="1F497D" w:themeColor="text2"/>
          <w:sz w:val="22"/>
          <w:szCs w:val="22"/>
        </w:rPr>
        <w:t xml:space="preserve"> esta evaluación hasta tres veces (la última en septiembre de 2011), esta vez al discutir la seguridad de este producto en combinación con otras variantes transgénicas de maíz. </w:t>
      </w:r>
    </w:p>
    <w:p w:rsidR="00DB707F" w:rsidRPr="00DB707F" w:rsidRDefault="00DB707F" w:rsidP="00DB707F">
      <w:pPr>
        <w:pStyle w:val="Default"/>
        <w:rPr>
          <w:rFonts w:ascii="Georgia" w:hAnsi="Georgia" w:cs="Georgia"/>
          <w:color w:val="1F497D" w:themeColor="text2"/>
          <w:sz w:val="28"/>
          <w:szCs w:val="28"/>
        </w:rPr>
      </w:pPr>
      <w:r w:rsidRPr="00DB707F">
        <w:rPr>
          <w:rFonts w:ascii="Georgia" w:hAnsi="Georgia" w:cs="Georgia"/>
          <w:i/>
          <w:iCs/>
          <w:color w:val="1F497D" w:themeColor="text2"/>
          <w:sz w:val="28"/>
          <w:szCs w:val="28"/>
        </w:rPr>
        <w:lastRenderedPageBreak/>
        <w:t xml:space="preserve">Monsanto afirma que ya otras veces los ensayos han sido desmentidos </w:t>
      </w:r>
    </w:p>
    <w:p w:rsidR="00DB707F" w:rsidRPr="00DB707F" w:rsidRDefault="00DB707F" w:rsidP="00DB707F">
      <w:pPr>
        <w:pStyle w:val="Default"/>
        <w:rPr>
          <w:rFonts w:cstheme="minorBidi"/>
          <w:color w:val="1F497D" w:themeColor="text2"/>
        </w:rPr>
        <w:sectPr w:rsidR="00DB707F" w:rsidRPr="00DB707F">
          <w:type w:val="continuous"/>
          <w:pgSz w:w="11899" w:h="17340"/>
          <w:pgMar w:top="543" w:right="574" w:bottom="898" w:left="561" w:header="720" w:footer="720" w:gutter="0"/>
          <w:cols w:num="2" w:space="720" w:equalWidth="0">
            <w:col w:w="6282" w:space="331"/>
            <w:col w:w="2778"/>
          </w:cols>
          <w:noEndnote/>
        </w:sectPr>
      </w:pP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Monsanto añade que “desde su aprobación, un gran número de artículos científicos sobre cultivos biotecnológicos han confirmado, de forma reiterada, la seguridad de nuestros productos, lo que ha servido para que la compañía haya obtenido la aprobación de las distintas autoridades regulatorias alrededor de todo el mundo”. (1) </w:t>
      </w:r>
    </w:p>
    <w:p w:rsidR="00DB707F" w:rsidRDefault="00DB707F" w:rsidP="00DB707F">
      <w:pPr>
        <w:rPr>
          <w:color w:val="1F497D" w:themeColor="text2"/>
        </w:rPr>
      </w:pPr>
      <w:r w:rsidRPr="00DB707F">
        <w:rPr>
          <w:color w:val="1F497D" w:themeColor="text2"/>
        </w:rPr>
        <w:t>EL PAÍS; 19 SEP 2012</w:t>
      </w:r>
    </w:p>
    <w:p w:rsidR="00DB707F" w:rsidRDefault="00DB707F" w:rsidP="00DB707F">
      <w:pPr>
        <w:rPr>
          <w:color w:val="1F497D" w:themeColor="text2"/>
        </w:rPr>
      </w:pPr>
    </w:p>
    <w:p w:rsidR="00DB707F" w:rsidRDefault="00DB707F" w:rsidP="00DB707F">
      <w:pPr>
        <w:pStyle w:val="Default"/>
      </w:pPr>
    </w:p>
    <w:p w:rsidR="00DB707F" w:rsidRDefault="00DB707F" w:rsidP="00DB707F">
      <w:pPr>
        <w:pStyle w:val="Default"/>
        <w:rPr>
          <w:b/>
          <w:bCs/>
          <w:sz w:val="23"/>
          <w:szCs w:val="23"/>
        </w:rPr>
      </w:pPr>
      <w:r>
        <w:rPr>
          <w:b/>
          <w:bCs/>
          <w:sz w:val="23"/>
          <w:szCs w:val="23"/>
        </w:rPr>
        <w:t xml:space="preserve">2.5. Riesgos de los GMO en relación con el medioambiente </w:t>
      </w:r>
    </w:p>
    <w:p w:rsidR="00DB707F" w:rsidRDefault="00DB707F" w:rsidP="00DB707F">
      <w:pPr>
        <w:pStyle w:val="Default"/>
        <w:rPr>
          <w:sz w:val="23"/>
          <w:szCs w:val="23"/>
        </w:rPr>
      </w:pPr>
    </w:p>
    <w:p w:rsidR="00DB707F" w:rsidRDefault="00DB707F" w:rsidP="00DB707F">
      <w:pPr>
        <w:pStyle w:val="Default"/>
        <w:rPr>
          <w:sz w:val="22"/>
          <w:szCs w:val="22"/>
        </w:rPr>
      </w:pPr>
      <w:r>
        <w:rPr>
          <w:sz w:val="22"/>
          <w:szCs w:val="22"/>
        </w:rPr>
        <w:t xml:space="preserve">• Pérdida de biodiversidad </w:t>
      </w:r>
    </w:p>
    <w:p w:rsidR="00DB707F" w:rsidRDefault="00DB707F" w:rsidP="00DB707F">
      <w:pPr>
        <w:pStyle w:val="Default"/>
        <w:rPr>
          <w:sz w:val="22"/>
          <w:szCs w:val="22"/>
        </w:rPr>
      </w:pPr>
    </w:p>
    <w:p w:rsidR="00DB707F" w:rsidRDefault="00DB707F" w:rsidP="00DB707F">
      <w:pPr>
        <w:pStyle w:val="Default"/>
        <w:rPr>
          <w:sz w:val="22"/>
          <w:szCs w:val="22"/>
        </w:rPr>
      </w:pPr>
      <w:r>
        <w:rPr>
          <w:sz w:val="22"/>
          <w:szCs w:val="22"/>
        </w:rPr>
        <w:t xml:space="preserve">La viabilidad de transferir caracteres genéticos en organismos vivos que les aporte un tipo de ventaja puede provocar una pérdida de biodiversidad por un efecto en cadena. </w:t>
      </w:r>
    </w:p>
    <w:p w:rsidR="00DB707F" w:rsidRDefault="00DB707F" w:rsidP="00DB707F">
      <w:pPr>
        <w:pStyle w:val="Default"/>
        <w:rPr>
          <w:sz w:val="22"/>
          <w:szCs w:val="22"/>
        </w:rPr>
      </w:pPr>
    </w:p>
    <w:p w:rsidR="00DB707F" w:rsidRDefault="00DB707F" w:rsidP="00DB707F">
      <w:pPr>
        <w:pStyle w:val="Default"/>
        <w:rPr>
          <w:sz w:val="22"/>
          <w:szCs w:val="22"/>
        </w:rPr>
      </w:pPr>
      <w:r>
        <w:rPr>
          <w:sz w:val="22"/>
          <w:szCs w:val="22"/>
        </w:rPr>
        <w:t xml:space="preserve">Ciertos organismos modificados genéticamente pueden estar dotados gracias a los genes transferidos de una ventaja competitiva, ya sea por ejemplo la resistencia a la salinidad, altas o bajas temperaturas, falta de agua, etc., Que pueda facilitar la expansión antinatural de este organismos a otros ecosistemas, desplazando otras especies y disminuyendo así la diversidad biológica con una clara consecuencia: el desequilibrio de los ecosistemas. Si un organismo modificado genéticamente sustituye parcial o totalmente otro en su expansión, este hecho romperá la red trófica, ya que no necesariamente este organismo nuevo al ecosistema podrá tener el mismo papel en relación con los niveles tróficos superior e inferior dentro del ecosistema, de forma que muchas otras especies se verán afectadas y no sólo la especie directamente sustituida. </w:t>
      </w:r>
    </w:p>
    <w:p w:rsidR="00DB707F" w:rsidRDefault="00DB707F" w:rsidP="00DB707F">
      <w:pPr>
        <w:pStyle w:val="Default"/>
        <w:rPr>
          <w:sz w:val="22"/>
          <w:szCs w:val="22"/>
        </w:rPr>
      </w:pPr>
      <w:r>
        <w:rPr>
          <w:sz w:val="22"/>
          <w:szCs w:val="22"/>
        </w:rPr>
        <w:t xml:space="preserve">El hecho de encontrar organismos modificado genéticamente que puedan invadir otros hábitats no sólo afecta a ecosistemas naturales, sino también a los propios cultivos, no a los cultivos propios de aquel organismo sino a los cultivos cercanos, donde el nuevo organismo modificado genéticamente que ha invadido otro cultivo diferente no se vería como un producto de cultivo, sino como una mala hierba, ya que no sería la planta deseada en este caso y por lo tanto una hierba a eliminar, volviendo a abrir el círculo. </w:t>
      </w:r>
    </w:p>
    <w:p w:rsidR="00DB707F" w:rsidRDefault="00DB707F" w:rsidP="00DB707F">
      <w:pPr>
        <w:pStyle w:val="Default"/>
        <w:rPr>
          <w:sz w:val="21"/>
          <w:szCs w:val="21"/>
        </w:rPr>
      </w:pPr>
      <w:r>
        <w:rPr>
          <w:sz w:val="21"/>
          <w:szCs w:val="21"/>
        </w:rPr>
        <w:t xml:space="preserve">En este apartado pueden destacarse diversos factores: si hablamos de animales modificados genéticamente, la totalidad de los existentes son animales de laboratorio y no se producen para su comercialización y consumo (hasta ahora – recordar caso del salmón que comentaremos próximamente-), y los futuribles animales que se produzcan sólo son aprobados para las condiciones concretas y estrictas para los que serán aprobados, pasando todos ellos por una serie de controles que incluyen el medioambiental y dentro de éste la fuga a un ecosistema. </w:t>
      </w:r>
    </w:p>
    <w:p w:rsidR="00DB707F" w:rsidRDefault="00DB707F" w:rsidP="00DB707F">
      <w:pPr>
        <w:pStyle w:val="Default"/>
        <w:rPr>
          <w:sz w:val="22"/>
          <w:szCs w:val="22"/>
        </w:rPr>
      </w:pPr>
      <w:r>
        <w:rPr>
          <w:sz w:val="22"/>
          <w:szCs w:val="22"/>
        </w:rPr>
        <w:t>Por otro lado, las plantas transgénicas son plantadas en cultivos que podrían ser considerados micro ecosistemas y que de igual forma que la agricultura tradicional no responden a el ecosistema que les rodee, como lo pudiera hacer una ciudad humana cerca de un bosque. Actualmente, la colonización de cultivos o la hibridación con otros cultivos no responde a una diferenci</w:t>
      </w:r>
      <w:r>
        <w:rPr>
          <w:sz w:val="22"/>
          <w:szCs w:val="22"/>
        </w:rPr>
        <w:t>a palpable respecto a las planta</w:t>
      </w:r>
      <w:r>
        <w:rPr>
          <w:sz w:val="22"/>
          <w:szCs w:val="22"/>
        </w:rPr>
        <w:t xml:space="preserve">ciones tradicionales, destacando que la mayoría de cultivos transgénicos se basa en el vigor de los híbridos, perdiendo a partir de F2 (la plantación transgénica) su poder de crecimiento. Se podría considerar por lo tanto que el vigor de las plantas transgénicas no tienen porqué afectar más al ecosistema que lo rodea que el vigor de las plantas tradicionales. </w:t>
      </w:r>
    </w:p>
    <w:p w:rsidR="00DB707F" w:rsidRDefault="00DB707F" w:rsidP="00DB707F">
      <w:pPr>
        <w:pStyle w:val="Default"/>
        <w:rPr>
          <w:sz w:val="22"/>
          <w:szCs w:val="22"/>
        </w:rPr>
      </w:pPr>
    </w:p>
    <w:p w:rsidR="00DB707F" w:rsidRDefault="00DB707F" w:rsidP="00DB707F">
      <w:pPr>
        <w:pStyle w:val="Default"/>
        <w:rPr>
          <w:sz w:val="22"/>
          <w:szCs w:val="22"/>
        </w:rPr>
      </w:pPr>
      <w:r>
        <w:rPr>
          <w:sz w:val="22"/>
          <w:szCs w:val="22"/>
        </w:rPr>
        <w:t xml:space="preserve">• Contaminación genética </w:t>
      </w:r>
    </w:p>
    <w:p w:rsidR="00DB707F" w:rsidRDefault="00DB707F" w:rsidP="00DB707F">
      <w:pPr>
        <w:pStyle w:val="Default"/>
        <w:rPr>
          <w:sz w:val="22"/>
          <w:szCs w:val="22"/>
        </w:rPr>
      </w:pPr>
    </w:p>
    <w:p w:rsidR="00DB707F" w:rsidRDefault="00DB707F" w:rsidP="00DB707F">
      <w:pPr>
        <w:pStyle w:val="Default"/>
        <w:rPr>
          <w:sz w:val="22"/>
          <w:szCs w:val="22"/>
        </w:rPr>
      </w:pPr>
      <w:r>
        <w:rPr>
          <w:sz w:val="22"/>
          <w:szCs w:val="22"/>
        </w:rPr>
        <w:t>Los nuevos gen</w:t>
      </w:r>
      <w:r>
        <w:rPr>
          <w:sz w:val="22"/>
          <w:szCs w:val="22"/>
        </w:rPr>
        <w:t>es introducidos en el organismo modificado</w:t>
      </w:r>
      <w:r>
        <w:rPr>
          <w:sz w:val="22"/>
          <w:szCs w:val="22"/>
        </w:rPr>
        <w:t xml:space="preserve">, pueden ser transmitidos a otras especies emparentadas compatibles. </w:t>
      </w:r>
    </w:p>
    <w:p w:rsidR="00DB707F" w:rsidRDefault="00DB707F" w:rsidP="00DB707F">
      <w:pPr>
        <w:pStyle w:val="Default"/>
        <w:rPr>
          <w:sz w:val="22"/>
          <w:szCs w:val="22"/>
        </w:rPr>
      </w:pPr>
      <w:r>
        <w:rPr>
          <w:sz w:val="22"/>
          <w:szCs w:val="22"/>
        </w:rPr>
        <w:t xml:space="preserve">Este hecho puede tener dos factores claros de riesgo: el primero vendría dado con la </w:t>
      </w:r>
      <w:proofErr w:type="spellStart"/>
      <w:r>
        <w:rPr>
          <w:sz w:val="22"/>
          <w:szCs w:val="22"/>
        </w:rPr>
        <w:t>impredictibilidad</w:t>
      </w:r>
      <w:proofErr w:type="spellEnd"/>
      <w:r>
        <w:rPr>
          <w:sz w:val="22"/>
          <w:szCs w:val="22"/>
        </w:rPr>
        <w:t xml:space="preserve"> de los organismos con genes modificados que viene dada no sólo por ser transgénicos sino también por el hecho de no ser controlados. </w:t>
      </w:r>
    </w:p>
    <w:p w:rsidR="00DB707F" w:rsidRDefault="00DB707F" w:rsidP="00DB707F">
      <w:r>
        <w:t>El segundo sería el traspaso de genes de organismos transgénicos en malezas compatibles, obteniendo malas hierbas con genes de organismo transgénico, un ejemplo claro sería el caso de un cultivo transgénico resistente a un herbicida utilizado para la quema de malezas que dota a una mala hierba del gen específico con respecto a el cultivo resistente al herbicida, obteniendo unas malezas resistentes al herbicida utilizado</w:t>
      </w:r>
    </w:p>
    <w:p w:rsidR="00DB707F" w:rsidRDefault="00DB707F" w:rsidP="00DB707F">
      <w:pPr>
        <w:pStyle w:val="Default"/>
        <w:rPr>
          <w:sz w:val="22"/>
          <w:szCs w:val="22"/>
        </w:rPr>
      </w:pPr>
      <w:proofErr w:type="gramStart"/>
      <w:r>
        <w:rPr>
          <w:sz w:val="22"/>
          <w:szCs w:val="22"/>
        </w:rPr>
        <w:t>para</w:t>
      </w:r>
      <w:proofErr w:type="gramEnd"/>
      <w:r>
        <w:rPr>
          <w:sz w:val="22"/>
          <w:szCs w:val="22"/>
        </w:rPr>
        <w:t xml:space="preserve"> su quema; este hecho provocaría una utilización de herbicidas más agresivos tanto con el medio olmo con las propias plantas utilizar para poder eliminar las malas hierbas y abriendo de este modo n otras vez el círculo. </w:t>
      </w:r>
    </w:p>
    <w:p w:rsidR="00DB707F" w:rsidRDefault="00DB707F" w:rsidP="00DB707F">
      <w:pPr>
        <w:pStyle w:val="Default"/>
        <w:rPr>
          <w:sz w:val="21"/>
          <w:szCs w:val="21"/>
        </w:rPr>
      </w:pPr>
      <w:r>
        <w:rPr>
          <w:sz w:val="21"/>
          <w:szCs w:val="21"/>
        </w:rPr>
        <w:t>Es destacable que el riesgo de paso de los genes de resistencia a plantas salvajes se ha planteado como una posibilidad de creación de "</w:t>
      </w:r>
      <w:proofErr w:type="spellStart"/>
      <w:r>
        <w:rPr>
          <w:sz w:val="21"/>
          <w:szCs w:val="21"/>
        </w:rPr>
        <w:t>supermalezas</w:t>
      </w:r>
      <w:proofErr w:type="spellEnd"/>
      <w:r>
        <w:rPr>
          <w:sz w:val="21"/>
          <w:szCs w:val="21"/>
        </w:rPr>
        <w:t xml:space="preserve">", planteamiento que olvida que esto solamente es posible por polinización entre especies muy próximas, que en los casos de soja y </w:t>
      </w:r>
      <w:proofErr w:type="spellStart"/>
      <w:r>
        <w:rPr>
          <w:sz w:val="21"/>
          <w:szCs w:val="21"/>
        </w:rPr>
        <w:t>maiz</w:t>
      </w:r>
      <w:proofErr w:type="spellEnd"/>
      <w:r>
        <w:rPr>
          <w:sz w:val="21"/>
          <w:szCs w:val="21"/>
        </w:rPr>
        <w:t xml:space="preserve"> no existen en Europa, y que, en cualquier caso, los parientes salvajes de las plantas cultivadas no han representado nunca un problema como "malas hierbas". </w:t>
      </w:r>
    </w:p>
    <w:p w:rsidR="00DB707F" w:rsidRDefault="00DB707F" w:rsidP="00DB707F">
      <w:pPr>
        <w:pStyle w:val="Default"/>
        <w:rPr>
          <w:sz w:val="22"/>
          <w:szCs w:val="22"/>
        </w:rPr>
      </w:pPr>
      <w:r>
        <w:rPr>
          <w:sz w:val="22"/>
          <w:szCs w:val="22"/>
        </w:rPr>
        <w:lastRenderedPageBreak/>
        <w:t xml:space="preserve">Respecto al hecho “impredecible” cabe comentar que los organismos independientes dedicados al control de los OMG hacen exhaustivos estudios de dichos factores de riesgo, desautorizando aquellos transgénicos que no cumplan con los estándares de seguridad. </w:t>
      </w:r>
    </w:p>
    <w:p w:rsidR="00DB707F" w:rsidRDefault="00DB707F" w:rsidP="00DB707F">
      <w:pPr>
        <w:pStyle w:val="Default"/>
        <w:rPr>
          <w:sz w:val="22"/>
          <w:szCs w:val="22"/>
        </w:rPr>
      </w:pPr>
      <w:r>
        <w:rPr>
          <w:sz w:val="22"/>
          <w:szCs w:val="22"/>
        </w:rPr>
        <w:t xml:space="preserve">• Incremento de la contaminación ambiental </w:t>
      </w:r>
    </w:p>
    <w:p w:rsidR="00DB707F" w:rsidRDefault="00DB707F" w:rsidP="00DB707F">
      <w:pPr>
        <w:pStyle w:val="Default"/>
        <w:rPr>
          <w:sz w:val="22"/>
          <w:szCs w:val="22"/>
        </w:rPr>
      </w:pPr>
      <w:r>
        <w:rPr>
          <w:sz w:val="22"/>
          <w:szCs w:val="22"/>
        </w:rPr>
        <w:t xml:space="preserve">Uno de los herbicidas más vendidos en todo el mundo es el </w:t>
      </w:r>
      <w:proofErr w:type="spellStart"/>
      <w:r>
        <w:rPr>
          <w:sz w:val="22"/>
          <w:szCs w:val="22"/>
        </w:rPr>
        <w:t>glifosfato</w:t>
      </w:r>
      <w:proofErr w:type="spellEnd"/>
      <w:r>
        <w:rPr>
          <w:sz w:val="22"/>
          <w:szCs w:val="22"/>
        </w:rPr>
        <w:t xml:space="preserve">, un herbicida al cual cultivos transgénicos específicos tienen tolerancia gracias a la modificación genética. El motivo para ser vendido en grandes cantidades es su consideración como fácilmente degradable y su capacidad para reducir el número de tratamientos a los que los cultivos deben someterse para obtener el producto deseado. Esto, y el hecho de no perjudicar a los cultivos, </w:t>
      </w:r>
      <w:proofErr w:type="gramStart"/>
      <w:r>
        <w:rPr>
          <w:sz w:val="22"/>
          <w:szCs w:val="22"/>
        </w:rPr>
        <w:t>hace</w:t>
      </w:r>
      <w:proofErr w:type="gramEnd"/>
      <w:r>
        <w:rPr>
          <w:sz w:val="22"/>
          <w:szCs w:val="22"/>
        </w:rPr>
        <w:t xml:space="preserve"> que este herbicida sea utilizado de forma masiva e incontrolada. Esta forma de utilización provoca no sólo el incremento de contaminación del medio, sino también la aparición de hierbas resistentes al herbicida como pueden hacer los microorganismos con los </w:t>
      </w:r>
      <w:proofErr w:type="spellStart"/>
      <w:r>
        <w:rPr>
          <w:sz w:val="22"/>
          <w:szCs w:val="22"/>
        </w:rPr>
        <w:t>antibióticos.A</w:t>
      </w:r>
      <w:proofErr w:type="spellEnd"/>
      <w:r>
        <w:rPr>
          <w:sz w:val="22"/>
          <w:szCs w:val="22"/>
        </w:rPr>
        <w:t xml:space="preserve"> pesar de no ser uno de los herbicidas más tóxicos, está comprobada su toxicidad en anfibios, invertebrados, hongos y levaduras y la letalidad en peces. </w:t>
      </w:r>
    </w:p>
    <w:p w:rsidR="00DB707F" w:rsidRDefault="00DB707F" w:rsidP="00DB707F">
      <w:pPr>
        <w:pStyle w:val="Default"/>
        <w:rPr>
          <w:sz w:val="22"/>
          <w:szCs w:val="22"/>
        </w:rPr>
      </w:pPr>
      <w:r>
        <w:rPr>
          <w:sz w:val="22"/>
          <w:szCs w:val="22"/>
        </w:rPr>
        <w:t xml:space="preserve">Además, la posibilidad antes mencionada de una adaptación por parte de las malas hierbas en herbicida, conducirá, como en el caso anterior a la necesidad de encontrar mediante la industria química nuevos herbicidas, fungicidas, insecticidas, </w:t>
      </w:r>
      <w:proofErr w:type="spellStart"/>
      <w:r>
        <w:rPr>
          <w:sz w:val="22"/>
          <w:szCs w:val="22"/>
        </w:rPr>
        <w:t>etc</w:t>
      </w:r>
      <w:proofErr w:type="spellEnd"/>
      <w:r>
        <w:rPr>
          <w:sz w:val="22"/>
          <w:szCs w:val="22"/>
        </w:rPr>
        <w:t xml:space="preserve">; con su consecuente círculo vicioso que crea un impacto no sólo ambiental sino también económico en forma de gastos. </w:t>
      </w:r>
    </w:p>
    <w:p w:rsidR="00DB707F" w:rsidRDefault="00DB707F" w:rsidP="00DB707F">
      <w:pPr>
        <w:pStyle w:val="Default"/>
        <w:rPr>
          <w:sz w:val="22"/>
          <w:szCs w:val="22"/>
        </w:rPr>
      </w:pPr>
      <w:r>
        <w:rPr>
          <w:sz w:val="22"/>
          <w:szCs w:val="22"/>
        </w:rPr>
        <w:t xml:space="preserve">Es remarcable comentar que los cultivos tradicionales ya utilizan grandes cantidades de insecticidas, herbicidas y pesticidas en general, en proporciones similares, sino superiores a los cultivos transgénicos; y también es destacable que la gran mayoría de los transgénicos no producen per se el herbicida, el insecticida o el pesticida, sino que son resistentes a unos en concreto que las plantas normales no lo son, siendo ese el mecanismo de supervivencia. </w:t>
      </w:r>
    </w:p>
    <w:p w:rsidR="00DB707F" w:rsidRDefault="00DB707F" w:rsidP="00DB707F">
      <w:pPr>
        <w:pStyle w:val="Default"/>
        <w:rPr>
          <w:sz w:val="22"/>
          <w:szCs w:val="22"/>
        </w:rPr>
      </w:pPr>
      <w:r>
        <w:rPr>
          <w:sz w:val="22"/>
          <w:szCs w:val="22"/>
        </w:rPr>
        <w:t xml:space="preserve">• Envenenamiento de la vida salvaje </w:t>
      </w:r>
    </w:p>
    <w:p w:rsidR="00DB707F" w:rsidRDefault="00DB707F" w:rsidP="00DB707F">
      <w:pPr>
        <w:pStyle w:val="Default"/>
        <w:rPr>
          <w:sz w:val="22"/>
          <w:szCs w:val="22"/>
        </w:rPr>
      </w:pPr>
      <w:r>
        <w:rPr>
          <w:sz w:val="22"/>
          <w:szCs w:val="22"/>
        </w:rPr>
        <w:t xml:space="preserve">Se da el caso entre otros que las plantas transgénicas que producen insecticidas, no sólo afectan a las plagas deseadas sino también a otros insectos presentes en el medio. Como en el primer caso, la desaparición de un insecto no previsto provocaría un cambio en las redes tróficas donde aquel / los insecto / s estuvieron presentes: si falta el insecto, aquellos organismos que se alimenten de insectos se verán afectados, como también se verán afectados los demás organismos que sigan esta pauta. </w:t>
      </w:r>
    </w:p>
    <w:p w:rsidR="00DB707F" w:rsidRDefault="00DB707F" w:rsidP="00DB707F">
      <w:r>
        <w:t>Se da el caso del maíz que produce una determinada toxina insecticida que afecta al barrenador también afecta letalmente a las larvas de la mariposa Monarca: cuando el polen del maíz se depositado por el viento en otras plantas que suelen crecer cercanas donde son los maíces, las larvas de mariposa se ve afectadas letalmente ya que se alimentan exclusivamente de ese tipo de plantas.</w:t>
      </w:r>
    </w:p>
    <w:p w:rsidR="00DB707F" w:rsidRDefault="00DB707F" w:rsidP="00DB707F"/>
    <w:p w:rsidR="00DB707F" w:rsidRDefault="00DB707F" w:rsidP="00DB707F">
      <w:pPr>
        <w:pStyle w:val="Default"/>
        <w:rPr>
          <w:sz w:val="22"/>
          <w:szCs w:val="22"/>
        </w:rPr>
      </w:pPr>
      <w:r>
        <w:rPr>
          <w:b/>
          <w:bCs/>
          <w:sz w:val="22"/>
          <w:szCs w:val="22"/>
        </w:rPr>
        <w:t>Noticias sobre contaminación genética</w:t>
      </w:r>
      <w:r>
        <w:rPr>
          <w:sz w:val="22"/>
          <w:szCs w:val="22"/>
        </w:rPr>
        <w:t xml:space="preserve">: uno de los temas más complicados en la evaluación del cultivo de los transgénicos es el de la coexistencia entre cultivos convencionales y transgénicos, ya que se dan casos de contaminación con material genético de uno a otro. </w:t>
      </w:r>
    </w:p>
    <w:p w:rsidR="00DB707F" w:rsidRDefault="00DB707F" w:rsidP="00DB707F">
      <w:pPr>
        <w:pStyle w:val="Default"/>
        <w:rPr>
          <w:sz w:val="22"/>
          <w:szCs w:val="22"/>
        </w:rPr>
      </w:pPr>
      <w:r>
        <w:rPr>
          <w:sz w:val="22"/>
          <w:szCs w:val="22"/>
        </w:rPr>
        <w:t xml:space="preserve">Fragmento extraído del documento: Preguntas y respuestas sobre el nuevo planteamiento de la UE en relación con el cultivo de OMG; Bruselas, 13 de junio de 2010 </w:t>
      </w:r>
    </w:p>
    <w:p w:rsidR="00DB707F" w:rsidRDefault="00DB707F" w:rsidP="00DB707F">
      <w:pPr>
        <w:pStyle w:val="Default"/>
        <w:rPr>
          <w:sz w:val="22"/>
          <w:szCs w:val="22"/>
        </w:rPr>
      </w:pPr>
    </w:p>
    <w:p w:rsidR="00DB707F" w:rsidRDefault="00DB707F" w:rsidP="00DB707F">
      <w:pPr>
        <w:pStyle w:val="Default"/>
        <w:rPr>
          <w:sz w:val="22"/>
          <w:szCs w:val="22"/>
        </w:rPr>
      </w:pPr>
    </w:p>
    <w:p w:rsidR="00DB707F" w:rsidRPr="00DB707F" w:rsidRDefault="00DB707F" w:rsidP="00DB707F">
      <w:pPr>
        <w:pStyle w:val="Default"/>
        <w:rPr>
          <w:b/>
          <w:bCs/>
          <w:color w:val="1F497D" w:themeColor="text2"/>
          <w:sz w:val="22"/>
          <w:szCs w:val="22"/>
        </w:rPr>
      </w:pPr>
      <w:r w:rsidRPr="00DB707F">
        <w:rPr>
          <w:b/>
          <w:bCs/>
          <w:color w:val="1F497D" w:themeColor="text2"/>
          <w:sz w:val="22"/>
          <w:szCs w:val="22"/>
        </w:rPr>
        <w:t xml:space="preserve">Respecto a la nueva Recomendación sobre la coexistencia </w:t>
      </w: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El objetivo de las medidas de coexistencia en las zonas en las que se cultivan OMG es impedir la presencia accidental de OMG en otros productos, evitando las posibles pérdidas económicas así como el impacto de los restos de cultivos modificados genéticamente en los cultivos de otro tipo, tales como los cultivos convencionales y los ecológicos.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La experiencia obtenida en los últimos años muestra que los Estados miembros necesitan más flexibilidad para poder tener en cuenta sus características locales, regionales y nacionales específicas a la hora de definir medidas para organizar los cultivos modificados genéticamente, los convencionales y los ecológicos.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La nueva Recomendación sobre la coexistencia establece que los Estados miembros pueden tomar medidas para evitar la presencia accidental de OMG en otros productos por debajo del umbral de etiquetado del 0,9 %. Cuando las medidas sobre coexistencia no sean suficientes para evitar la presencia accidental de OMG en cultivos convencionales o ecológicos, los Estados miembros podrán restringir el cultivo de OMG en zonas extensas de su territorio. Estas medidas restrictivas deben ser proporcionales al objetivo buscado (es decir, el respeto de las necesidades particulares de la agricultura convencional o ecológica).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La Comisión publicó en 2009 el segundo informe sobre las estrategias nacionales para la coexistencia de los cultivos modificados genéticamente con la agricultura convencional y ecológica. Este informe muestra que quince Estados miembros han adoptado legislación sobre la coexistencia, mientras que otros tres han notificado proyectos legislativos. </w:t>
      </w:r>
    </w:p>
    <w:p w:rsidR="00DB707F" w:rsidRDefault="00DB707F" w:rsidP="00DB707F">
      <w:pPr>
        <w:pStyle w:val="Default"/>
        <w:rPr>
          <w:color w:val="1F497D" w:themeColor="text2"/>
          <w:sz w:val="22"/>
          <w:szCs w:val="22"/>
        </w:rPr>
      </w:pPr>
      <w:r w:rsidRPr="00DB707F">
        <w:rPr>
          <w:color w:val="1F497D" w:themeColor="text2"/>
          <w:sz w:val="22"/>
          <w:szCs w:val="22"/>
        </w:rPr>
        <w:t xml:space="preserve">La Oficina Europea de Coexistencia elabora, en colaboración con los Estados miembros, las mejores prácticas sobre coexistencia, que se basan en el principio de que los Estados miembros necesitan flexibilidad para tener en cuenta sus características locales y regionales. </w:t>
      </w:r>
    </w:p>
    <w:p w:rsidR="00DB707F" w:rsidRDefault="00DB707F" w:rsidP="00DB707F">
      <w:pPr>
        <w:pStyle w:val="Default"/>
        <w:rPr>
          <w:color w:val="1F497D" w:themeColor="text2"/>
          <w:sz w:val="22"/>
          <w:szCs w:val="22"/>
        </w:rPr>
      </w:pPr>
    </w:p>
    <w:p w:rsid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p>
    <w:p w:rsidR="00DB707F" w:rsidRDefault="00DB707F" w:rsidP="00DB707F">
      <w:pPr>
        <w:pStyle w:val="Default"/>
        <w:rPr>
          <w:sz w:val="22"/>
          <w:szCs w:val="22"/>
        </w:rPr>
      </w:pPr>
      <w:r>
        <w:rPr>
          <w:sz w:val="22"/>
          <w:szCs w:val="22"/>
        </w:rPr>
        <w:t xml:space="preserve">Noticia sobre un caso interesante de contaminación transgénica en la UE. Este caso judicial pone sobre la mesa algunos problemas que conllevan los transgénicos. Hay muchos aspectos que tienen que tenerse en cuenta y aún más si se trata de un tema tan delicado como son los GMO. Aunque este caso aparentemente no sea muy relevante, como consecuencia, la EFSA estudió un posible efecto adverso del polen </w:t>
      </w:r>
      <w:proofErr w:type="spellStart"/>
      <w:r>
        <w:rPr>
          <w:sz w:val="22"/>
          <w:szCs w:val="22"/>
        </w:rPr>
        <w:t>transgénico</w:t>
      </w:r>
      <w:proofErr w:type="gramStart"/>
      <w:r>
        <w:rPr>
          <w:sz w:val="22"/>
          <w:szCs w:val="22"/>
        </w:rPr>
        <w:t>:Scientificopiniononmaize</w:t>
      </w:r>
      <w:proofErr w:type="spellEnd"/>
      <w:proofErr w:type="gramEnd"/>
      <w:r>
        <w:rPr>
          <w:sz w:val="22"/>
          <w:szCs w:val="22"/>
        </w:rPr>
        <w:t xml:space="preserve"> MON 810 </w:t>
      </w:r>
      <w:proofErr w:type="spellStart"/>
      <w:r>
        <w:rPr>
          <w:sz w:val="22"/>
          <w:szCs w:val="22"/>
        </w:rPr>
        <w:t>pollen</w:t>
      </w:r>
      <w:proofErr w:type="spellEnd"/>
      <w:r>
        <w:rPr>
          <w:sz w:val="22"/>
          <w:szCs w:val="22"/>
        </w:rPr>
        <w:t xml:space="preserve"> as </w:t>
      </w:r>
      <w:proofErr w:type="spellStart"/>
      <w:r>
        <w:rPr>
          <w:sz w:val="22"/>
          <w:szCs w:val="22"/>
        </w:rPr>
        <w:t>or</w:t>
      </w:r>
      <w:proofErr w:type="spellEnd"/>
      <w:r>
        <w:rPr>
          <w:sz w:val="22"/>
          <w:szCs w:val="22"/>
        </w:rPr>
        <w:t xml:space="preserve"> in </w:t>
      </w:r>
      <w:proofErr w:type="spellStart"/>
      <w:r>
        <w:rPr>
          <w:sz w:val="22"/>
          <w:szCs w:val="22"/>
        </w:rPr>
        <w:t>food</w:t>
      </w:r>
      <w:proofErr w:type="spellEnd"/>
      <w:r>
        <w:rPr>
          <w:sz w:val="22"/>
          <w:szCs w:val="22"/>
        </w:rPr>
        <w:t xml:space="preserve">; </w:t>
      </w:r>
      <w:proofErr w:type="spellStart"/>
      <w:r>
        <w:rPr>
          <w:sz w:val="22"/>
          <w:szCs w:val="22"/>
        </w:rPr>
        <w:t>ScientificOpinion</w:t>
      </w:r>
      <w:proofErr w:type="spellEnd"/>
      <w:r>
        <w:rPr>
          <w:sz w:val="22"/>
          <w:szCs w:val="22"/>
        </w:rPr>
        <w:t xml:space="preserve"> of </w:t>
      </w:r>
      <w:proofErr w:type="spellStart"/>
      <w:r>
        <w:rPr>
          <w:sz w:val="22"/>
          <w:szCs w:val="22"/>
        </w:rPr>
        <w:t>the</w:t>
      </w:r>
      <w:proofErr w:type="spellEnd"/>
      <w:r>
        <w:rPr>
          <w:sz w:val="22"/>
          <w:szCs w:val="22"/>
        </w:rPr>
        <w:t xml:space="preserve"> GMO Panel - </w:t>
      </w:r>
      <w:proofErr w:type="spellStart"/>
      <w:r>
        <w:rPr>
          <w:sz w:val="22"/>
          <w:szCs w:val="22"/>
        </w:rPr>
        <w:t>Published</w:t>
      </w:r>
      <w:proofErr w:type="spellEnd"/>
      <w:r>
        <w:rPr>
          <w:sz w:val="22"/>
          <w:szCs w:val="22"/>
        </w:rPr>
        <w:t xml:space="preserve">: 18 </w:t>
      </w:r>
      <w:proofErr w:type="spellStart"/>
      <w:r>
        <w:rPr>
          <w:sz w:val="22"/>
          <w:szCs w:val="22"/>
        </w:rPr>
        <w:t>December</w:t>
      </w:r>
      <w:proofErr w:type="spellEnd"/>
      <w:r>
        <w:rPr>
          <w:sz w:val="22"/>
          <w:szCs w:val="22"/>
        </w:rPr>
        <w:t xml:space="preserve"> 2012. Esta noticiase publicó en EL PAÍS el día 7 de septiembre del 2011 </w:t>
      </w:r>
    </w:p>
    <w:p w:rsidR="00DB707F" w:rsidRDefault="00DB707F" w:rsidP="00DB707F">
      <w:pPr>
        <w:pStyle w:val="Default"/>
        <w:rPr>
          <w:sz w:val="22"/>
          <w:szCs w:val="22"/>
        </w:rPr>
      </w:pPr>
    </w:p>
    <w:p w:rsidR="00DB707F" w:rsidRPr="00DB707F" w:rsidRDefault="00DB707F" w:rsidP="00DB707F">
      <w:pPr>
        <w:pStyle w:val="Default"/>
        <w:rPr>
          <w:b/>
          <w:bCs/>
          <w:color w:val="1F497D" w:themeColor="text2"/>
          <w:sz w:val="22"/>
          <w:szCs w:val="22"/>
        </w:rPr>
      </w:pPr>
      <w:r w:rsidRPr="00DB707F">
        <w:rPr>
          <w:b/>
          <w:bCs/>
          <w:color w:val="1F497D" w:themeColor="text2"/>
          <w:sz w:val="22"/>
          <w:szCs w:val="22"/>
        </w:rPr>
        <w:t xml:space="preserve">GOLPE JUDICIAL A LA CONTAMINACIÓN TRANSGÉNICA DE MONSANTO </w:t>
      </w:r>
    </w:p>
    <w:p w:rsidR="00DB707F" w:rsidRPr="00DB707F" w:rsidRDefault="00DB707F" w:rsidP="00DB707F">
      <w:pPr>
        <w:pStyle w:val="Default"/>
        <w:rPr>
          <w:color w:val="1F497D" w:themeColor="text2"/>
          <w:sz w:val="22"/>
          <w:szCs w:val="22"/>
        </w:rPr>
      </w:pPr>
    </w:p>
    <w:p w:rsidR="00DB707F" w:rsidRDefault="00DB707F" w:rsidP="00DB707F">
      <w:pPr>
        <w:rPr>
          <w:color w:val="1F497D" w:themeColor="text2"/>
        </w:rPr>
      </w:pPr>
      <w:r w:rsidRPr="00DB707F">
        <w:rPr>
          <w:color w:val="1F497D" w:themeColor="text2"/>
        </w:rPr>
        <w:t xml:space="preserve">Una miel o cualquier </w:t>
      </w:r>
      <w:proofErr w:type="gramStart"/>
      <w:r w:rsidRPr="00DB707F">
        <w:rPr>
          <w:color w:val="1F497D" w:themeColor="text2"/>
        </w:rPr>
        <w:t>complementos</w:t>
      </w:r>
      <w:proofErr w:type="gramEnd"/>
      <w:r w:rsidRPr="00DB707F">
        <w:rPr>
          <w:color w:val="1F497D" w:themeColor="text2"/>
        </w:rPr>
        <w:t xml:space="preserve"> alimenticio que contengan polen derivado de un transgénico -aunque sea por una contaminación accidental- deberán contar con autorización previa para ser comercializados, según el Tribunal de Justicia de la Unión Europea (TUE). Sin embargo, el tribunal señala que el polen modificado ya no constituye en sí mismo un transgénico, dado que ha perdido sus capacidades reproductiva y de transferir material genético. Es decir, que aunque una miel contaminada con restos de transgénicos no debe someterse a las normas de estos alimentos, tampoco puede venderse sin autorización ni etiquetado. El caso es relevante porque el polen de los transgénicos viaja grandes distancias y con cierta frecuencia contamina cultivos ecológicos.</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El litigio sobre el que se ha pronunciado el TUE deriva del enfrentamiento del apicultor Karl Heinz </w:t>
      </w:r>
      <w:proofErr w:type="spellStart"/>
      <w:r w:rsidRPr="00DB707F">
        <w:rPr>
          <w:color w:val="1F497D" w:themeColor="text2"/>
          <w:sz w:val="22"/>
          <w:szCs w:val="22"/>
        </w:rPr>
        <w:t>Bablok</w:t>
      </w:r>
      <w:proofErr w:type="spellEnd"/>
      <w:r w:rsidRPr="00DB707F">
        <w:rPr>
          <w:color w:val="1F497D" w:themeColor="text2"/>
          <w:sz w:val="22"/>
          <w:szCs w:val="22"/>
        </w:rPr>
        <w:t xml:space="preserve"> y otros cuatro productores de miel con el Estado de Baviera (Alemania), propietario de terrenos en los que se ha cultivado durante años el maíz MON 810, genéticamente modificado por la multinacional Monsanto para producir unas toxinas que destruyen las larvas de una mariposa parásita. </w:t>
      </w:r>
    </w:p>
    <w:p w:rsidR="00DB707F" w:rsidRPr="00DB707F" w:rsidRDefault="00DB707F" w:rsidP="00DB707F">
      <w:pPr>
        <w:pStyle w:val="Default"/>
        <w:rPr>
          <w:color w:val="1F497D" w:themeColor="text2"/>
          <w:sz w:val="22"/>
          <w:szCs w:val="22"/>
        </w:rPr>
      </w:pPr>
      <w:proofErr w:type="spellStart"/>
      <w:r w:rsidRPr="00DB707F">
        <w:rPr>
          <w:color w:val="1F497D" w:themeColor="text2"/>
          <w:sz w:val="22"/>
          <w:szCs w:val="22"/>
        </w:rPr>
        <w:t>Bablok</w:t>
      </w:r>
      <w:proofErr w:type="spellEnd"/>
      <w:r w:rsidRPr="00DB707F">
        <w:rPr>
          <w:color w:val="1F497D" w:themeColor="text2"/>
          <w:sz w:val="22"/>
          <w:szCs w:val="22"/>
        </w:rPr>
        <w:t xml:space="preserve"> produce miel para consumo propio y para la venta y hasta 2005 también producía polen que comercializaba como complemento alimenticio. Aquel año se detectó ADN del MON 810 y de proteínas transgénicas en el polen y en muestras de miel de las colmenas que tenía a 500 metros de las explotaciones experimentales el Gobierno bávaro. </w:t>
      </w:r>
      <w:proofErr w:type="spellStart"/>
      <w:r w:rsidRPr="00DB707F">
        <w:rPr>
          <w:color w:val="1F497D" w:themeColor="text2"/>
          <w:sz w:val="22"/>
          <w:szCs w:val="22"/>
        </w:rPr>
        <w:t>Bablok</w:t>
      </w:r>
      <w:proofErr w:type="spellEnd"/>
      <w:r w:rsidRPr="00DB707F">
        <w:rPr>
          <w:color w:val="1F497D" w:themeColor="text2"/>
          <w:sz w:val="22"/>
          <w:szCs w:val="22"/>
        </w:rPr>
        <w:t xml:space="preserve"> concluyó que tales residuos hacían que sus productos no fueran aptos para el comercio y consumo, por lo que llevó al Gobierno de Múnich a los tribunales. </w:t>
      </w:r>
    </w:p>
    <w:p w:rsidR="00DB707F" w:rsidRDefault="00DB707F" w:rsidP="00DB707F">
      <w:pPr>
        <w:pStyle w:val="Default"/>
        <w:rPr>
          <w:color w:val="1F497D" w:themeColor="text2"/>
          <w:sz w:val="22"/>
          <w:szCs w:val="22"/>
        </w:rPr>
      </w:pPr>
      <w:r w:rsidRPr="00DB707F">
        <w:rPr>
          <w:color w:val="1F497D" w:themeColor="text2"/>
          <w:sz w:val="22"/>
          <w:szCs w:val="22"/>
        </w:rPr>
        <w:t xml:space="preserve">El tribunal de lo contencioso-administrativo de Baviera preguntó al TUE si la mera presencia de derivados del polen transgénico que ha perdido su capacidad de reproducción obliga a que la comercialización esté supeditada a autorización previa. </w:t>
      </w:r>
    </w:p>
    <w:p w:rsidR="00DB707F" w:rsidRPr="00DB707F" w:rsidRDefault="00DB707F" w:rsidP="00DB707F">
      <w:pPr>
        <w:pStyle w:val="Default"/>
        <w:rPr>
          <w:color w:val="1F497D" w:themeColor="text2"/>
          <w:sz w:val="22"/>
          <w:szCs w:val="22"/>
        </w:rPr>
      </w:pPr>
    </w:p>
    <w:p w:rsidR="00DB707F" w:rsidRDefault="00DB707F" w:rsidP="00DB707F">
      <w:pPr>
        <w:pStyle w:val="Default"/>
        <w:rPr>
          <w:b/>
          <w:bCs/>
          <w:color w:val="1F497D" w:themeColor="text2"/>
          <w:sz w:val="22"/>
          <w:szCs w:val="22"/>
        </w:rPr>
      </w:pPr>
      <w:r w:rsidRPr="00DB707F">
        <w:rPr>
          <w:b/>
          <w:bCs/>
          <w:color w:val="1F497D" w:themeColor="text2"/>
          <w:sz w:val="22"/>
          <w:szCs w:val="22"/>
        </w:rPr>
        <w:t xml:space="preserve">La sentencia señala que si bien el polen derivado de una variedad de maíz transgénico no es un transgénico propiamente dicho, "productos como la miel y los complementos alimenticios que contiene dicho polen constituyen alimentos que contienen ingredientes producidos a partir de un transgénico" y que en calidad de ingredientes deben someterse al régimen de autorización. No exime de tal autorización, según el tribunal, ni el carácter intencional ni el fortuito de la aparición de dicho polen en la miel. </w:t>
      </w:r>
    </w:p>
    <w:p w:rsidR="00DB707F" w:rsidRPr="00DB707F" w:rsidRDefault="00DB707F" w:rsidP="00DB707F">
      <w:pPr>
        <w:pStyle w:val="Default"/>
        <w:rPr>
          <w:color w:val="1F497D" w:themeColor="text2"/>
          <w:sz w:val="22"/>
          <w:szCs w:val="22"/>
        </w:rPr>
      </w:pP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Monsanto esgrimió que como la aparición del ADN no era intencional no debería ser etiquetada, algo que ha sido desestimado. La firma no quiso ayer comentar el fondo de la sentencia con el argumento de que se trata de "tecnicismos jurídicos de las aprobaciones en la UE de MON 810", aunque </w:t>
      </w:r>
      <w:proofErr w:type="spellStart"/>
      <w:r w:rsidRPr="00DB707F">
        <w:rPr>
          <w:color w:val="1F497D" w:themeColor="text2"/>
          <w:sz w:val="22"/>
          <w:szCs w:val="22"/>
        </w:rPr>
        <w:t>insitió</w:t>
      </w:r>
      <w:proofErr w:type="spellEnd"/>
      <w:r w:rsidRPr="00DB707F">
        <w:rPr>
          <w:color w:val="1F497D" w:themeColor="text2"/>
          <w:sz w:val="22"/>
          <w:szCs w:val="22"/>
        </w:rPr>
        <w:t xml:space="preserve"> en que la seguridad de su producto está garantizada.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El Tribunal de Justicia europeo también señala que la autorización obligatoria es independiente de la proporción de material modificado genéticamente contenida en el producto. Así, </w:t>
      </w:r>
      <w:proofErr w:type="spellStart"/>
      <w:r w:rsidRPr="00DB707F">
        <w:rPr>
          <w:color w:val="1F497D" w:themeColor="text2"/>
          <w:sz w:val="22"/>
          <w:szCs w:val="22"/>
        </w:rPr>
        <w:t>Bablok</w:t>
      </w:r>
      <w:proofErr w:type="spellEnd"/>
      <w:r w:rsidRPr="00DB707F">
        <w:rPr>
          <w:color w:val="1F497D" w:themeColor="text2"/>
          <w:sz w:val="22"/>
          <w:szCs w:val="22"/>
        </w:rPr>
        <w:t xml:space="preserve"> deberá solicitar permiso para comercializar su miel y su polen. No estaba en cuestión si el apicultor podía vender sus productos etiquetados como ecológicos, pero fuentes jurídicas deducen de la sentencia que la obligación de autorización del material modificado genéticamente impide que pueda comercializarse como "producto ecológico". </w:t>
      </w:r>
    </w:p>
    <w:p w:rsidR="00DB707F" w:rsidRPr="00DB707F" w:rsidRDefault="00DB707F" w:rsidP="00DB707F">
      <w:pPr>
        <w:pStyle w:val="Default"/>
        <w:rPr>
          <w:color w:val="1F497D" w:themeColor="text2"/>
          <w:sz w:val="22"/>
          <w:szCs w:val="22"/>
        </w:rPr>
      </w:pPr>
      <w:r w:rsidRPr="00DB707F">
        <w:rPr>
          <w:color w:val="1F497D" w:themeColor="text2"/>
          <w:sz w:val="22"/>
          <w:szCs w:val="22"/>
        </w:rPr>
        <w:t xml:space="preserve">Para el grupo de los Verdes del Parlamento Europeo, el caso de </w:t>
      </w:r>
      <w:proofErr w:type="spellStart"/>
      <w:r w:rsidRPr="00DB707F">
        <w:rPr>
          <w:color w:val="1F497D" w:themeColor="text2"/>
          <w:sz w:val="22"/>
          <w:szCs w:val="22"/>
        </w:rPr>
        <w:t>Bablok</w:t>
      </w:r>
      <w:proofErr w:type="spellEnd"/>
      <w:r w:rsidRPr="00DB707F">
        <w:rPr>
          <w:color w:val="1F497D" w:themeColor="text2"/>
          <w:sz w:val="22"/>
          <w:szCs w:val="22"/>
        </w:rPr>
        <w:t xml:space="preserve"> y la sentencia del TUE prueban que la coexistencia de cultivos tradicionales y transgénicos "es una falacia" porque "permitir el cultivo de transgénicos lleva claramente a la contaminación de cultivos no transgénicos y otros alimentos". (1) </w:t>
      </w:r>
    </w:p>
    <w:p w:rsidR="00DB707F" w:rsidRDefault="00DB707F" w:rsidP="00DB707F">
      <w:pPr>
        <w:rPr>
          <w:color w:val="1F497D" w:themeColor="text2"/>
        </w:rPr>
      </w:pPr>
      <w:r w:rsidRPr="00DB707F">
        <w:rPr>
          <w:color w:val="1F497D" w:themeColor="text2"/>
        </w:rPr>
        <w:t>EL PAÍS; miércoles, 7 de septiembre de 2011</w:t>
      </w:r>
    </w:p>
    <w:p w:rsidR="00DB707F" w:rsidRDefault="00DB707F" w:rsidP="00DB707F">
      <w:pPr>
        <w:rPr>
          <w:color w:val="1F497D" w:themeColor="text2"/>
        </w:rPr>
      </w:pPr>
    </w:p>
    <w:p w:rsidR="00DB707F" w:rsidRDefault="00DB707F" w:rsidP="00DB707F">
      <w:pPr>
        <w:pStyle w:val="Default"/>
      </w:pPr>
    </w:p>
    <w:p w:rsidR="00DB707F" w:rsidRDefault="00DB707F" w:rsidP="00DB707F">
      <w:pPr>
        <w:pStyle w:val="Default"/>
        <w:rPr>
          <w:sz w:val="28"/>
          <w:szCs w:val="28"/>
        </w:rPr>
      </w:pPr>
      <w:r>
        <w:rPr>
          <w:b/>
          <w:bCs/>
          <w:sz w:val="28"/>
          <w:szCs w:val="28"/>
        </w:rPr>
        <w:t xml:space="preserve">2.6. El caso norteamericano: FDA, posición y funcionamiento </w:t>
      </w:r>
    </w:p>
    <w:p w:rsidR="00DB707F" w:rsidRDefault="00DB707F" w:rsidP="00DB707F">
      <w:pPr>
        <w:pStyle w:val="Default"/>
        <w:rPr>
          <w:sz w:val="28"/>
          <w:szCs w:val="28"/>
        </w:rPr>
      </w:pPr>
    </w:p>
    <w:p w:rsidR="00DB707F" w:rsidRDefault="00DB707F" w:rsidP="00DB707F">
      <w:pPr>
        <w:pStyle w:val="Default"/>
        <w:rPr>
          <w:sz w:val="23"/>
          <w:szCs w:val="23"/>
        </w:rPr>
      </w:pPr>
      <w:r>
        <w:rPr>
          <w:b/>
          <w:bCs/>
          <w:sz w:val="23"/>
          <w:szCs w:val="23"/>
        </w:rPr>
        <w:t xml:space="preserve">2.6.1. La FDA: funciones </w:t>
      </w:r>
    </w:p>
    <w:p w:rsidR="00DB707F" w:rsidRDefault="00DB707F" w:rsidP="00DB707F">
      <w:pPr>
        <w:pStyle w:val="Default"/>
        <w:rPr>
          <w:sz w:val="22"/>
          <w:szCs w:val="22"/>
        </w:rPr>
      </w:pPr>
      <w:r>
        <w:rPr>
          <w:sz w:val="22"/>
          <w:szCs w:val="22"/>
        </w:rPr>
        <w:t xml:space="preserve">La FDA (U.S. </w:t>
      </w:r>
      <w:proofErr w:type="spellStart"/>
      <w:r>
        <w:rPr>
          <w:sz w:val="22"/>
          <w:szCs w:val="22"/>
        </w:rPr>
        <w:t>Food</w:t>
      </w:r>
      <w:proofErr w:type="spellEnd"/>
      <w:r>
        <w:rPr>
          <w:sz w:val="22"/>
          <w:szCs w:val="22"/>
        </w:rPr>
        <w:t xml:space="preserve"> and </w:t>
      </w:r>
      <w:proofErr w:type="spellStart"/>
      <w:r>
        <w:rPr>
          <w:sz w:val="22"/>
          <w:szCs w:val="22"/>
        </w:rPr>
        <w:t>Drug</w:t>
      </w:r>
      <w:proofErr w:type="spellEnd"/>
      <w:r>
        <w:rPr>
          <w:sz w:val="22"/>
          <w:szCs w:val="22"/>
        </w:rPr>
        <w:t xml:space="preserve"> </w:t>
      </w:r>
      <w:proofErr w:type="spellStart"/>
      <w:r>
        <w:rPr>
          <w:sz w:val="22"/>
          <w:szCs w:val="22"/>
        </w:rPr>
        <w:t>Administration</w:t>
      </w:r>
      <w:proofErr w:type="spellEnd"/>
      <w:r>
        <w:rPr>
          <w:sz w:val="22"/>
          <w:szCs w:val="22"/>
        </w:rPr>
        <w:t xml:space="preserve">) es una organización perteneciente al U.S </w:t>
      </w:r>
      <w:proofErr w:type="spellStart"/>
      <w:r>
        <w:rPr>
          <w:sz w:val="22"/>
          <w:szCs w:val="22"/>
        </w:rPr>
        <w:t>Department</w:t>
      </w:r>
      <w:proofErr w:type="spellEnd"/>
      <w:r>
        <w:rPr>
          <w:sz w:val="22"/>
          <w:szCs w:val="22"/>
        </w:rPr>
        <w:t xml:space="preserve"> of </w:t>
      </w:r>
      <w:proofErr w:type="spellStart"/>
      <w:r>
        <w:rPr>
          <w:sz w:val="22"/>
          <w:szCs w:val="22"/>
        </w:rPr>
        <w:t>health</w:t>
      </w:r>
      <w:proofErr w:type="spellEnd"/>
      <w:r>
        <w:rPr>
          <w:sz w:val="22"/>
          <w:szCs w:val="22"/>
        </w:rPr>
        <w:t xml:space="preserve"> and Human </w:t>
      </w:r>
      <w:proofErr w:type="spellStart"/>
      <w:r>
        <w:rPr>
          <w:sz w:val="22"/>
          <w:szCs w:val="22"/>
        </w:rPr>
        <w:t>Service</w:t>
      </w:r>
      <w:proofErr w:type="spellEnd"/>
      <w:r>
        <w:rPr>
          <w:sz w:val="22"/>
          <w:szCs w:val="22"/>
        </w:rPr>
        <w:t xml:space="preserve"> (similar a los ministerios de agricultura, alimentación y medio ambiente) responsable de la regulación </w:t>
      </w:r>
      <w:r>
        <w:rPr>
          <w:sz w:val="22"/>
          <w:szCs w:val="22"/>
        </w:rPr>
        <w:lastRenderedPageBreak/>
        <w:t xml:space="preserve">de alimentos (tanto para personas como para animales), suplementos alimenticios, medicamentos (humanos y veterinarios), cosméticos, aparatos médicos (humanos y animales), productos biológicos y derivados sanguíneos. </w:t>
      </w:r>
    </w:p>
    <w:p w:rsidR="00DB707F" w:rsidRDefault="00DB707F" w:rsidP="00DB707F">
      <w:pPr>
        <w:pStyle w:val="Default"/>
        <w:rPr>
          <w:sz w:val="22"/>
          <w:szCs w:val="22"/>
        </w:rPr>
      </w:pPr>
      <w:r>
        <w:rPr>
          <w:sz w:val="22"/>
          <w:szCs w:val="22"/>
        </w:rPr>
        <w:t xml:space="preserve">La principal tarea de la FDA es “regular la multitud de productos medicinales de una manera tal que asegure la seguridad de los consumidores norteamericanos y la efectividad de los medicamentos comercializados”, dicha seguridad incluye también la relativa a la seguridad alimentaria, y también, en particular, a los OMG, tanto vegetales como animales. </w:t>
      </w:r>
    </w:p>
    <w:p w:rsidR="00DB707F" w:rsidRDefault="00DB707F" w:rsidP="00DB707F">
      <w:pPr>
        <w:pStyle w:val="Default"/>
        <w:rPr>
          <w:sz w:val="23"/>
          <w:szCs w:val="23"/>
        </w:rPr>
      </w:pPr>
      <w:r>
        <w:rPr>
          <w:b/>
          <w:bCs/>
          <w:sz w:val="23"/>
          <w:szCs w:val="23"/>
        </w:rPr>
        <w:t xml:space="preserve">2.6.2. Reglamentos para alimentos derivados de vegetales transgénicos </w:t>
      </w:r>
    </w:p>
    <w:p w:rsidR="00DB707F" w:rsidRDefault="00DB707F" w:rsidP="00DB707F">
      <w:pPr>
        <w:pStyle w:val="Default"/>
        <w:rPr>
          <w:sz w:val="23"/>
          <w:szCs w:val="23"/>
        </w:rPr>
      </w:pPr>
    </w:p>
    <w:p w:rsidR="00DB707F" w:rsidRDefault="00DB707F" w:rsidP="00DB707F">
      <w:pPr>
        <w:pStyle w:val="Default"/>
        <w:rPr>
          <w:sz w:val="22"/>
          <w:szCs w:val="22"/>
        </w:rPr>
      </w:pPr>
      <w:r>
        <w:rPr>
          <w:sz w:val="22"/>
          <w:szCs w:val="22"/>
        </w:rPr>
        <w:t>Concretamente, en el Registro Federal de 29 de mayo de 1992 (57 FR 22984), FDA publicó su "</w:t>
      </w:r>
      <w:proofErr w:type="spellStart"/>
      <w:r>
        <w:rPr>
          <w:i/>
          <w:iCs/>
          <w:sz w:val="22"/>
          <w:szCs w:val="22"/>
        </w:rPr>
        <w:t>Statement</w:t>
      </w:r>
      <w:proofErr w:type="spellEnd"/>
      <w:r>
        <w:rPr>
          <w:i/>
          <w:iCs/>
          <w:sz w:val="22"/>
          <w:szCs w:val="22"/>
        </w:rPr>
        <w:t xml:space="preserve"> of </w:t>
      </w:r>
      <w:proofErr w:type="spellStart"/>
      <w:r>
        <w:rPr>
          <w:i/>
          <w:iCs/>
          <w:sz w:val="22"/>
          <w:szCs w:val="22"/>
        </w:rPr>
        <w:t>policy</w:t>
      </w:r>
      <w:proofErr w:type="spellEnd"/>
      <w:r>
        <w:rPr>
          <w:i/>
          <w:iCs/>
          <w:sz w:val="22"/>
          <w:szCs w:val="22"/>
        </w:rPr>
        <w:t xml:space="preserve">: </w:t>
      </w:r>
      <w:r>
        <w:rPr>
          <w:sz w:val="22"/>
          <w:szCs w:val="22"/>
        </w:rPr>
        <w:t xml:space="preserve">Alimentos Derivados de las Obtenciones Vegetales" (la política de 1992). La política en 1992 aclaró la interpretación de la agencia de la aplicación de la Ley Federal de Alimentos, Medicamentos y Cosméticos con respecto a alimentos de consumo humano y alimentos para animales procedentes de las variedades vegetales y proporcionó orientación a la industria sobre asuntos científicos y regulatorios relativos a estos alimentos. La política de 1992 se aplica a todos los alimentos derivados de las nuevas variedades de plantas, incluidas las variedades que se desarrollan utilizando el ácido desoxirribonucleico (ADN recombinante) (1) </w:t>
      </w:r>
    </w:p>
    <w:p w:rsidR="00DB707F" w:rsidRDefault="00DB707F" w:rsidP="00DB707F">
      <w:pPr>
        <w:pStyle w:val="Default"/>
        <w:rPr>
          <w:sz w:val="22"/>
          <w:szCs w:val="22"/>
        </w:rPr>
      </w:pPr>
      <w:r>
        <w:rPr>
          <w:sz w:val="22"/>
          <w:szCs w:val="22"/>
        </w:rPr>
        <w:t>Dicho registro federal se basa en el “</w:t>
      </w:r>
      <w:proofErr w:type="spellStart"/>
      <w:r>
        <w:rPr>
          <w:sz w:val="22"/>
          <w:szCs w:val="22"/>
        </w:rPr>
        <w:t>Coordinated</w:t>
      </w:r>
      <w:proofErr w:type="spellEnd"/>
      <w:r>
        <w:rPr>
          <w:sz w:val="22"/>
          <w:szCs w:val="22"/>
        </w:rPr>
        <w:t xml:space="preserve"> Framework </w:t>
      </w:r>
      <w:proofErr w:type="spellStart"/>
      <w:r>
        <w:rPr>
          <w:sz w:val="22"/>
          <w:szCs w:val="22"/>
        </w:rPr>
        <w:t>for</w:t>
      </w:r>
      <w:proofErr w:type="spellEnd"/>
      <w:r>
        <w:rPr>
          <w:sz w:val="22"/>
          <w:szCs w:val="22"/>
        </w:rPr>
        <w:t xml:space="preserve"> </w:t>
      </w:r>
      <w:proofErr w:type="spellStart"/>
      <w:r>
        <w:rPr>
          <w:sz w:val="22"/>
          <w:szCs w:val="22"/>
        </w:rPr>
        <w:t>Regulation</w:t>
      </w:r>
      <w:proofErr w:type="spellEnd"/>
      <w:r>
        <w:rPr>
          <w:sz w:val="22"/>
          <w:szCs w:val="22"/>
        </w:rPr>
        <w:t xml:space="preserve"> of </w:t>
      </w:r>
      <w:proofErr w:type="spellStart"/>
      <w:r>
        <w:rPr>
          <w:sz w:val="22"/>
          <w:szCs w:val="22"/>
        </w:rPr>
        <w:t>Biotechnology</w:t>
      </w:r>
      <w:proofErr w:type="spellEnd"/>
      <w:r>
        <w:rPr>
          <w:sz w:val="22"/>
          <w:szCs w:val="22"/>
        </w:rPr>
        <w:t xml:space="preserve">” de 1986, y básicamente equipara a las plantas modificadas genéticamente con los productos vegetales convencionales, de hecho a raíz de el documento proporcionado se consideran productos seguros y se establece que no ser sometidos a ningún estándar diferente de control. </w:t>
      </w:r>
    </w:p>
    <w:p w:rsidR="00DB707F" w:rsidRDefault="00DB707F" w:rsidP="00DB707F">
      <w:pPr>
        <w:pStyle w:val="Default"/>
        <w:rPr>
          <w:sz w:val="22"/>
          <w:szCs w:val="22"/>
        </w:rPr>
      </w:pPr>
      <w:r>
        <w:rPr>
          <w:sz w:val="22"/>
          <w:szCs w:val="22"/>
        </w:rPr>
        <w:t xml:space="preserve">Por lo tanto se puede decir que la FDA no controla por norma general los productos y derivados de plantas transgénicas, sino que somete a estos productos a procesos de consulta voluntarios (a los que suelen someterse voluntariamente las empresas para evitar “sorpresas”), y se consideran seguros a menos que se demuestre lo contrario; no es necesario pues demostrar su seguridad a la FDA previa salida al mercado, sino que si la FDA encuentra pruebas de problemáticas, el producto será retirado. </w:t>
      </w:r>
    </w:p>
    <w:p w:rsidR="00DB707F" w:rsidRDefault="00DB707F" w:rsidP="00DB707F">
      <w:r>
        <w:t>La FDA ha realizado revisiones del mencionado registro federal, estableciendo nuevos procedimientos de consulta dirigidos a las empresas que pretendan sacar a mercado productos derivados de vegetales MG, como son los nuevos procedimientos de junio de 1996 donde la FDA proporcionó orientación adicional a la industria sobre los procedimientos que describen el proceso a través del cual un desarrollador que tiene la intención de comercializar un alimento de bioingeniería se reúne con la agencia para identificar y discutir de seguridad pertinentes, nutricional o de otras cuestiones reglamentarias relativas a los alimentos modificados genéticamente y luego es sometido por parte de la FDA a un control de su evaluación científica y regulatoria de los alimentos. (2)</w:t>
      </w:r>
    </w:p>
    <w:p w:rsidR="00DB707F" w:rsidRDefault="00DB707F" w:rsidP="00DB707F"/>
    <w:p w:rsidR="00DB707F" w:rsidRDefault="00DB707F" w:rsidP="00DB707F">
      <w:pPr>
        <w:pStyle w:val="Default"/>
        <w:rPr>
          <w:sz w:val="22"/>
          <w:szCs w:val="22"/>
        </w:rPr>
      </w:pPr>
      <w:r>
        <w:rPr>
          <w:sz w:val="22"/>
          <w:szCs w:val="22"/>
        </w:rPr>
        <w:t xml:space="preserve">Asimismo, en el “Federal </w:t>
      </w:r>
      <w:proofErr w:type="spellStart"/>
      <w:r>
        <w:rPr>
          <w:sz w:val="22"/>
          <w:szCs w:val="22"/>
        </w:rPr>
        <w:t>Register</w:t>
      </w:r>
      <w:proofErr w:type="spellEnd"/>
      <w:r>
        <w:rPr>
          <w:sz w:val="22"/>
          <w:szCs w:val="22"/>
        </w:rPr>
        <w:t xml:space="preserve">” de 18 de enero de 2001, con la propuesta de notificación previa a la comercialización 66 FR 4706, la FDA emitió una regla propuesta que invitaba a que los desarrolladores presentar una evaluación científica y reguladora de los alimentos que contengan OMG 120 días antes de la comercialización de dichos alimentos. (1) </w:t>
      </w:r>
    </w:p>
    <w:p w:rsidR="00DB707F" w:rsidRDefault="00DB707F" w:rsidP="00DB707F">
      <w:pPr>
        <w:pStyle w:val="Default"/>
        <w:rPr>
          <w:sz w:val="22"/>
          <w:szCs w:val="22"/>
        </w:rPr>
      </w:pPr>
      <w:r>
        <w:rPr>
          <w:sz w:val="22"/>
          <w:szCs w:val="22"/>
        </w:rPr>
        <w:t xml:space="preserve">Cabe destacar el afán conciliador de la FDA con los productores y consumidores, siendo observadas constantemente peticiones por parte de la agencia pidiendo la involucración de los mismos, dejando constantes periodos abiertos </w:t>
      </w:r>
      <w:proofErr w:type="gramStart"/>
      <w:r>
        <w:rPr>
          <w:sz w:val="22"/>
          <w:szCs w:val="22"/>
        </w:rPr>
        <w:t>( y</w:t>
      </w:r>
      <w:proofErr w:type="gramEnd"/>
      <w:r>
        <w:rPr>
          <w:sz w:val="22"/>
          <w:szCs w:val="22"/>
        </w:rPr>
        <w:t xml:space="preserve"> haciendo repetidas alusiones a ellos) para aceptar sugerencias y peticiones a la administración, una práctica muy práctica (valga la redundancia), sopesando y balanceando el peso del interés de ambos sectores (consumidor y productor). </w:t>
      </w:r>
    </w:p>
    <w:p w:rsidR="00DB707F" w:rsidRDefault="00DB707F" w:rsidP="00DB707F">
      <w:pPr>
        <w:pStyle w:val="Default"/>
        <w:rPr>
          <w:sz w:val="23"/>
          <w:szCs w:val="23"/>
        </w:rPr>
      </w:pPr>
      <w:r>
        <w:rPr>
          <w:b/>
          <w:bCs/>
          <w:sz w:val="23"/>
          <w:szCs w:val="23"/>
        </w:rPr>
        <w:t xml:space="preserve">2.6.3. Organismos paralelos a la FDA en la regulación de plantas transgénicas y derivados </w:t>
      </w:r>
    </w:p>
    <w:p w:rsidR="00DB707F" w:rsidRDefault="00DB707F" w:rsidP="00DB707F">
      <w:pPr>
        <w:pStyle w:val="Default"/>
        <w:rPr>
          <w:sz w:val="23"/>
          <w:szCs w:val="23"/>
        </w:rPr>
      </w:pPr>
    </w:p>
    <w:p w:rsidR="00DB707F" w:rsidRDefault="00DB707F" w:rsidP="00DB707F">
      <w:pPr>
        <w:pStyle w:val="Default"/>
        <w:rPr>
          <w:sz w:val="22"/>
          <w:szCs w:val="22"/>
        </w:rPr>
      </w:pPr>
      <w:r>
        <w:rPr>
          <w:sz w:val="22"/>
          <w:szCs w:val="22"/>
        </w:rPr>
        <w:t xml:space="preserve">Además del papel regulador de la FDA, y en </w:t>
      </w:r>
      <w:proofErr w:type="spellStart"/>
      <w:r>
        <w:rPr>
          <w:sz w:val="22"/>
          <w:szCs w:val="22"/>
        </w:rPr>
        <w:t>coadyuvancia</w:t>
      </w:r>
      <w:proofErr w:type="spellEnd"/>
      <w:r>
        <w:rPr>
          <w:sz w:val="22"/>
          <w:szCs w:val="22"/>
        </w:rPr>
        <w:t xml:space="preserve"> a esta, la APHIS (sanidad animal y vegetal) del Departamento de Agricultura de EE.UU. (USDA) regula la gran mayoría de las plantas transgénicas, ya </w:t>
      </w:r>
      <w:proofErr w:type="spellStart"/>
      <w:r>
        <w:rPr>
          <w:sz w:val="22"/>
          <w:szCs w:val="22"/>
        </w:rPr>
        <w:t>quedurante</w:t>
      </w:r>
      <w:proofErr w:type="spellEnd"/>
      <w:r>
        <w:rPr>
          <w:sz w:val="22"/>
          <w:szCs w:val="22"/>
        </w:rPr>
        <w:t xml:space="preserve"> la investigación y el desarrollo de un artículo reglamentado que está destinado a ser utilizado como cultivo alimenticio, se puede solicitar a un desarrollador de APHIS una determinación de la situación reglamentaria del artículo. (2) </w:t>
      </w:r>
    </w:p>
    <w:p w:rsidR="00DB707F" w:rsidRDefault="00DB707F" w:rsidP="00DB707F">
      <w:pPr>
        <w:pStyle w:val="Default"/>
        <w:rPr>
          <w:sz w:val="22"/>
          <w:szCs w:val="22"/>
        </w:rPr>
      </w:pPr>
      <w:r>
        <w:rPr>
          <w:sz w:val="22"/>
          <w:szCs w:val="22"/>
        </w:rPr>
        <w:t xml:space="preserve">A su vez, el uso seguro de las sustancias plaguicidas está regulado por la Agencia de Protección Ambiental (EPA). Por lo tanto, un alimento de bioingeniería que pueda contener una sustancia pesticida (también conocido como “protector para plantas incorporado” (PIP)) ha de ser objeto de revisión por parte de la EPA. (3) </w:t>
      </w:r>
    </w:p>
    <w:p w:rsidR="00DB707F" w:rsidRDefault="00DB707F" w:rsidP="00DB707F">
      <w:pPr>
        <w:pStyle w:val="Default"/>
        <w:rPr>
          <w:sz w:val="23"/>
          <w:szCs w:val="23"/>
        </w:rPr>
      </w:pPr>
      <w:r>
        <w:rPr>
          <w:b/>
          <w:bCs/>
          <w:sz w:val="23"/>
          <w:szCs w:val="23"/>
        </w:rPr>
        <w:t xml:space="preserve">2.6.4. Reglamentos y posición de la </w:t>
      </w:r>
      <w:proofErr w:type="spellStart"/>
      <w:r>
        <w:rPr>
          <w:b/>
          <w:bCs/>
          <w:sz w:val="23"/>
          <w:szCs w:val="23"/>
        </w:rPr>
        <w:t>FDArespecto</w:t>
      </w:r>
      <w:proofErr w:type="spellEnd"/>
      <w:r>
        <w:rPr>
          <w:b/>
          <w:bCs/>
          <w:sz w:val="23"/>
          <w:szCs w:val="23"/>
        </w:rPr>
        <w:t xml:space="preserve"> a animales modificados genéticamente </w:t>
      </w:r>
    </w:p>
    <w:p w:rsidR="00DB707F" w:rsidRDefault="00DB707F" w:rsidP="00DB707F">
      <w:pPr>
        <w:pStyle w:val="Default"/>
        <w:rPr>
          <w:sz w:val="23"/>
          <w:szCs w:val="23"/>
        </w:rPr>
      </w:pPr>
    </w:p>
    <w:p w:rsidR="00DB707F" w:rsidRDefault="00DB707F" w:rsidP="00DB707F">
      <w:pPr>
        <w:pStyle w:val="Default"/>
        <w:rPr>
          <w:sz w:val="22"/>
          <w:szCs w:val="22"/>
        </w:rPr>
      </w:pPr>
      <w:r>
        <w:rPr>
          <w:sz w:val="22"/>
          <w:szCs w:val="22"/>
        </w:rPr>
        <w:t>La FDA ha publicado una guía a la regulación de los animales modificados genéticamente dirigida a la industria, pero que también puede ser útil al consumidor y donde se destaca como gran titular: “</w:t>
      </w:r>
      <w:proofErr w:type="spellStart"/>
      <w:r>
        <w:rPr>
          <w:i/>
          <w:iCs/>
          <w:sz w:val="22"/>
          <w:szCs w:val="22"/>
        </w:rPr>
        <w:t>Food</w:t>
      </w:r>
      <w:proofErr w:type="spellEnd"/>
      <w:r>
        <w:rPr>
          <w:i/>
          <w:iCs/>
          <w:sz w:val="22"/>
          <w:szCs w:val="22"/>
        </w:rPr>
        <w:t xml:space="preserve"> </w:t>
      </w:r>
      <w:proofErr w:type="spellStart"/>
      <w:r>
        <w:rPr>
          <w:i/>
          <w:iCs/>
          <w:sz w:val="22"/>
          <w:szCs w:val="22"/>
        </w:rPr>
        <w:t>from</w:t>
      </w:r>
      <w:proofErr w:type="spellEnd"/>
      <w:r>
        <w:rPr>
          <w:i/>
          <w:iCs/>
          <w:sz w:val="22"/>
          <w:szCs w:val="22"/>
        </w:rPr>
        <w:t xml:space="preserve"> GE </w:t>
      </w:r>
      <w:proofErr w:type="spellStart"/>
      <w:r>
        <w:rPr>
          <w:i/>
          <w:iCs/>
          <w:sz w:val="22"/>
          <w:szCs w:val="22"/>
        </w:rPr>
        <w:t>animals</w:t>
      </w:r>
      <w:proofErr w:type="spellEnd"/>
      <w:r>
        <w:rPr>
          <w:i/>
          <w:iCs/>
          <w:sz w:val="22"/>
          <w:szCs w:val="22"/>
        </w:rPr>
        <w:t xml:space="preserve"> </w:t>
      </w:r>
      <w:proofErr w:type="spellStart"/>
      <w:r>
        <w:rPr>
          <w:i/>
          <w:iCs/>
          <w:sz w:val="22"/>
          <w:szCs w:val="22"/>
        </w:rPr>
        <w:t>will</w:t>
      </w:r>
      <w:proofErr w:type="spellEnd"/>
      <w:r>
        <w:rPr>
          <w:i/>
          <w:iCs/>
          <w:sz w:val="22"/>
          <w:szCs w:val="22"/>
        </w:rPr>
        <w:t xml:space="preserve"> </w:t>
      </w:r>
      <w:proofErr w:type="spellStart"/>
      <w:r>
        <w:rPr>
          <w:i/>
          <w:iCs/>
          <w:sz w:val="22"/>
          <w:szCs w:val="22"/>
        </w:rPr>
        <w:t>not</w:t>
      </w:r>
      <w:proofErr w:type="spellEnd"/>
      <w:r>
        <w:rPr>
          <w:i/>
          <w:iCs/>
          <w:sz w:val="22"/>
          <w:szCs w:val="22"/>
        </w:rPr>
        <w:t xml:space="preserve"> </w:t>
      </w:r>
      <w:proofErr w:type="spellStart"/>
      <w:r>
        <w:rPr>
          <w:i/>
          <w:iCs/>
          <w:sz w:val="22"/>
          <w:szCs w:val="22"/>
        </w:rPr>
        <w:t>enter</w:t>
      </w:r>
      <w:proofErr w:type="spellEnd"/>
      <w:r>
        <w:rPr>
          <w:i/>
          <w:iCs/>
          <w:sz w:val="22"/>
          <w:szCs w:val="22"/>
        </w:rPr>
        <w:t xml:space="preserve"> </w:t>
      </w:r>
      <w:proofErr w:type="spellStart"/>
      <w:r>
        <w:rPr>
          <w:i/>
          <w:iCs/>
          <w:sz w:val="22"/>
          <w:szCs w:val="22"/>
        </w:rPr>
        <w:t>the</w:t>
      </w:r>
      <w:proofErr w:type="spellEnd"/>
      <w:r>
        <w:rPr>
          <w:i/>
          <w:iCs/>
          <w:sz w:val="22"/>
          <w:szCs w:val="22"/>
        </w:rPr>
        <w:t xml:space="preserve"> </w:t>
      </w:r>
      <w:proofErr w:type="spellStart"/>
      <w:r>
        <w:rPr>
          <w:i/>
          <w:iCs/>
          <w:sz w:val="22"/>
          <w:szCs w:val="22"/>
        </w:rPr>
        <w:t>food</w:t>
      </w:r>
      <w:proofErr w:type="spellEnd"/>
      <w:r>
        <w:rPr>
          <w:i/>
          <w:iCs/>
          <w:sz w:val="22"/>
          <w:szCs w:val="22"/>
        </w:rPr>
        <w:t xml:space="preserve"> </w:t>
      </w:r>
      <w:proofErr w:type="spellStart"/>
      <w:r>
        <w:rPr>
          <w:i/>
          <w:iCs/>
          <w:sz w:val="22"/>
          <w:szCs w:val="22"/>
        </w:rPr>
        <w:t>supply</w:t>
      </w:r>
      <w:proofErr w:type="spellEnd"/>
      <w:r>
        <w:rPr>
          <w:i/>
          <w:iCs/>
          <w:sz w:val="22"/>
          <w:szCs w:val="22"/>
        </w:rPr>
        <w:t xml:space="preserve"> </w:t>
      </w:r>
      <w:proofErr w:type="spellStart"/>
      <w:r>
        <w:rPr>
          <w:i/>
          <w:iCs/>
          <w:sz w:val="22"/>
          <w:szCs w:val="22"/>
        </w:rPr>
        <w:t>unless</w:t>
      </w:r>
      <w:proofErr w:type="spellEnd"/>
      <w:r>
        <w:rPr>
          <w:i/>
          <w:iCs/>
          <w:sz w:val="22"/>
          <w:szCs w:val="22"/>
        </w:rPr>
        <w:t xml:space="preserve"> FDA has </w:t>
      </w:r>
      <w:proofErr w:type="spellStart"/>
      <w:r>
        <w:rPr>
          <w:i/>
          <w:iCs/>
          <w:sz w:val="22"/>
          <w:szCs w:val="22"/>
        </w:rPr>
        <w:t>determined</w:t>
      </w:r>
      <w:proofErr w:type="spellEnd"/>
      <w:r>
        <w:rPr>
          <w:i/>
          <w:iCs/>
          <w:sz w:val="22"/>
          <w:szCs w:val="22"/>
        </w:rPr>
        <w:t xml:space="preserve"> </w:t>
      </w:r>
      <w:proofErr w:type="spellStart"/>
      <w:r>
        <w:rPr>
          <w:i/>
          <w:iCs/>
          <w:sz w:val="22"/>
          <w:szCs w:val="22"/>
        </w:rPr>
        <w:t>that</w:t>
      </w:r>
      <w:proofErr w:type="spellEnd"/>
      <w:r>
        <w:rPr>
          <w:i/>
          <w:iCs/>
          <w:sz w:val="22"/>
          <w:szCs w:val="22"/>
        </w:rPr>
        <w:t xml:space="preserve"> </w:t>
      </w:r>
      <w:proofErr w:type="spellStart"/>
      <w:r>
        <w:rPr>
          <w:i/>
          <w:iCs/>
          <w:sz w:val="22"/>
          <w:szCs w:val="22"/>
        </w:rPr>
        <w:t>it</w:t>
      </w:r>
      <w:proofErr w:type="spellEnd"/>
      <w:r>
        <w:rPr>
          <w:i/>
          <w:iCs/>
          <w:sz w:val="22"/>
          <w:szCs w:val="22"/>
        </w:rPr>
        <w:t xml:space="preserve"> </w:t>
      </w:r>
      <w:proofErr w:type="spellStart"/>
      <w:r>
        <w:rPr>
          <w:i/>
          <w:iCs/>
          <w:sz w:val="22"/>
          <w:szCs w:val="22"/>
        </w:rPr>
        <w:t>is</w:t>
      </w:r>
      <w:proofErr w:type="spellEnd"/>
      <w:r>
        <w:rPr>
          <w:i/>
          <w:iCs/>
          <w:sz w:val="22"/>
          <w:szCs w:val="22"/>
        </w:rPr>
        <w:t xml:space="preserve"> </w:t>
      </w:r>
      <w:proofErr w:type="spellStart"/>
      <w:r>
        <w:rPr>
          <w:i/>
          <w:iCs/>
          <w:sz w:val="22"/>
          <w:szCs w:val="22"/>
        </w:rPr>
        <w:t>safe</w:t>
      </w:r>
      <w:proofErr w:type="spellEnd"/>
      <w:r>
        <w:rPr>
          <w:i/>
          <w:iCs/>
          <w:sz w:val="22"/>
          <w:szCs w:val="22"/>
        </w:rPr>
        <w:t xml:space="preserve">.”(4) </w:t>
      </w:r>
    </w:p>
    <w:p w:rsidR="00DB707F" w:rsidRDefault="00DB707F" w:rsidP="00DB707F">
      <w:pPr>
        <w:pStyle w:val="Default"/>
        <w:rPr>
          <w:sz w:val="22"/>
          <w:szCs w:val="22"/>
        </w:rPr>
      </w:pPr>
      <w:proofErr w:type="spellStart"/>
      <w:r>
        <w:rPr>
          <w:sz w:val="22"/>
          <w:szCs w:val="22"/>
        </w:rPr>
        <w:t>Laguía</w:t>
      </w:r>
      <w:proofErr w:type="spellEnd"/>
      <w:r>
        <w:rPr>
          <w:sz w:val="22"/>
          <w:szCs w:val="22"/>
        </w:rPr>
        <w:t xml:space="preserve"> </w:t>
      </w:r>
      <w:proofErr w:type="spellStart"/>
      <w:r>
        <w:rPr>
          <w:sz w:val="22"/>
          <w:szCs w:val="22"/>
        </w:rPr>
        <w:t>recomiendaunproceso</w:t>
      </w:r>
      <w:proofErr w:type="spellEnd"/>
      <w:r>
        <w:rPr>
          <w:sz w:val="22"/>
          <w:szCs w:val="22"/>
        </w:rPr>
        <w:t xml:space="preserve"> de revisión </w:t>
      </w:r>
      <w:proofErr w:type="spellStart"/>
      <w:r>
        <w:rPr>
          <w:sz w:val="22"/>
          <w:szCs w:val="22"/>
        </w:rPr>
        <w:t>queincluye</w:t>
      </w:r>
      <w:proofErr w:type="spellEnd"/>
      <w:r>
        <w:rPr>
          <w:sz w:val="22"/>
          <w:szCs w:val="22"/>
        </w:rPr>
        <w:t xml:space="preserve"> </w:t>
      </w:r>
      <w:proofErr w:type="spellStart"/>
      <w:r>
        <w:rPr>
          <w:sz w:val="22"/>
          <w:szCs w:val="22"/>
        </w:rPr>
        <w:t>sietecategorías</w:t>
      </w:r>
      <w:proofErr w:type="spellEnd"/>
      <w:r>
        <w:rPr>
          <w:sz w:val="22"/>
          <w:szCs w:val="22"/>
        </w:rPr>
        <w:t xml:space="preserve">: </w:t>
      </w:r>
    </w:p>
    <w:p w:rsidR="00DB707F" w:rsidRDefault="00DB707F" w:rsidP="00DB707F">
      <w:pPr>
        <w:pStyle w:val="Default"/>
        <w:rPr>
          <w:sz w:val="22"/>
          <w:szCs w:val="22"/>
        </w:rPr>
      </w:pPr>
      <w:r>
        <w:rPr>
          <w:sz w:val="22"/>
          <w:szCs w:val="22"/>
        </w:rPr>
        <w:t xml:space="preserve">•Definición del </w:t>
      </w:r>
      <w:proofErr w:type="spellStart"/>
      <w:r>
        <w:rPr>
          <w:sz w:val="22"/>
          <w:szCs w:val="22"/>
        </w:rPr>
        <w:t>producto</w:t>
      </w:r>
      <w:proofErr w:type="gramStart"/>
      <w:r>
        <w:rPr>
          <w:sz w:val="22"/>
          <w:szCs w:val="22"/>
        </w:rPr>
        <w:t>:una</w:t>
      </w:r>
      <w:proofErr w:type="spellEnd"/>
      <w:proofErr w:type="gramEnd"/>
      <w:r>
        <w:rPr>
          <w:sz w:val="22"/>
          <w:szCs w:val="22"/>
        </w:rPr>
        <w:t xml:space="preserve"> declaración </w:t>
      </w:r>
      <w:proofErr w:type="spellStart"/>
      <w:r>
        <w:rPr>
          <w:sz w:val="22"/>
          <w:szCs w:val="22"/>
        </w:rPr>
        <w:t>ampliaque</w:t>
      </w:r>
      <w:proofErr w:type="spellEnd"/>
      <w:r>
        <w:rPr>
          <w:sz w:val="22"/>
          <w:szCs w:val="22"/>
        </w:rPr>
        <w:t xml:space="preserve"> caracteriza </w:t>
      </w:r>
      <w:proofErr w:type="spellStart"/>
      <w:r>
        <w:rPr>
          <w:sz w:val="22"/>
          <w:szCs w:val="22"/>
        </w:rPr>
        <w:t>elanimal</w:t>
      </w:r>
      <w:proofErr w:type="spellEnd"/>
      <w:r>
        <w:rPr>
          <w:sz w:val="22"/>
          <w:szCs w:val="22"/>
        </w:rPr>
        <w:t xml:space="preserve"> genéticamente modificado </w:t>
      </w:r>
      <w:proofErr w:type="spellStart"/>
      <w:r>
        <w:rPr>
          <w:sz w:val="22"/>
          <w:szCs w:val="22"/>
        </w:rPr>
        <w:t>ylos</w:t>
      </w:r>
      <w:proofErr w:type="spellEnd"/>
      <w:r>
        <w:rPr>
          <w:sz w:val="22"/>
          <w:szCs w:val="22"/>
        </w:rPr>
        <w:t xml:space="preserve"> objetivos productivos de </w:t>
      </w:r>
      <w:proofErr w:type="spellStart"/>
      <w:r>
        <w:rPr>
          <w:sz w:val="22"/>
          <w:szCs w:val="22"/>
        </w:rPr>
        <w:t>dichoanimal</w:t>
      </w:r>
      <w:proofErr w:type="spellEnd"/>
      <w:r>
        <w:rPr>
          <w:sz w:val="22"/>
          <w:szCs w:val="22"/>
        </w:rPr>
        <w:t xml:space="preserve"> genéticamente modificado; </w:t>
      </w:r>
    </w:p>
    <w:p w:rsidR="00DB707F" w:rsidRDefault="00DB707F" w:rsidP="00DB707F">
      <w:pPr>
        <w:pStyle w:val="Default"/>
        <w:rPr>
          <w:sz w:val="22"/>
          <w:szCs w:val="22"/>
        </w:rPr>
      </w:pPr>
      <w:r>
        <w:rPr>
          <w:sz w:val="22"/>
          <w:szCs w:val="22"/>
        </w:rPr>
        <w:t xml:space="preserve">• </w:t>
      </w:r>
      <w:proofErr w:type="spellStart"/>
      <w:r>
        <w:rPr>
          <w:sz w:val="22"/>
          <w:szCs w:val="22"/>
        </w:rPr>
        <w:t>CaracterizaciónMolecularde</w:t>
      </w:r>
      <w:proofErr w:type="spellEnd"/>
      <w:r>
        <w:rPr>
          <w:sz w:val="22"/>
          <w:szCs w:val="22"/>
        </w:rPr>
        <w:t xml:space="preserve"> la construcción: una descripción de la construcción </w:t>
      </w:r>
      <w:proofErr w:type="spellStart"/>
      <w:r>
        <w:rPr>
          <w:sz w:val="22"/>
          <w:szCs w:val="22"/>
        </w:rPr>
        <w:t>deADNryla</w:t>
      </w:r>
      <w:proofErr w:type="spellEnd"/>
      <w:r>
        <w:rPr>
          <w:sz w:val="22"/>
          <w:szCs w:val="22"/>
        </w:rPr>
        <w:t xml:space="preserve"> forma en que se hizo; </w:t>
      </w:r>
    </w:p>
    <w:p w:rsidR="00DB707F" w:rsidRDefault="00DB707F" w:rsidP="00DB707F">
      <w:pPr>
        <w:pStyle w:val="Default"/>
        <w:rPr>
          <w:sz w:val="22"/>
          <w:szCs w:val="22"/>
        </w:rPr>
      </w:pPr>
      <w:r>
        <w:rPr>
          <w:sz w:val="22"/>
          <w:szCs w:val="22"/>
        </w:rPr>
        <w:lastRenderedPageBreak/>
        <w:t xml:space="preserve">•La caracterización molecular </w:t>
      </w:r>
      <w:proofErr w:type="spellStart"/>
      <w:r>
        <w:rPr>
          <w:sz w:val="22"/>
          <w:szCs w:val="22"/>
        </w:rPr>
        <w:t>dellinajeanimal</w:t>
      </w:r>
      <w:proofErr w:type="spellEnd"/>
      <w:r>
        <w:rPr>
          <w:sz w:val="22"/>
          <w:szCs w:val="22"/>
        </w:rPr>
        <w:t xml:space="preserve"> genéticamente modificado: una </w:t>
      </w:r>
      <w:proofErr w:type="spellStart"/>
      <w:r>
        <w:rPr>
          <w:sz w:val="22"/>
          <w:szCs w:val="22"/>
        </w:rPr>
        <w:t>descripciónde</w:t>
      </w:r>
      <w:proofErr w:type="spellEnd"/>
      <w:r>
        <w:rPr>
          <w:sz w:val="22"/>
          <w:szCs w:val="22"/>
        </w:rPr>
        <w:t xml:space="preserve"> la construcción </w:t>
      </w:r>
      <w:proofErr w:type="spellStart"/>
      <w:r>
        <w:rPr>
          <w:sz w:val="22"/>
          <w:szCs w:val="22"/>
        </w:rPr>
        <w:t>deADNrquese</w:t>
      </w:r>
      <w:proofErr w:type="spellEnd"/>
      <w:r>
        <w:rPr>
          <w:sz w:val="22"/>
          <w:szCs w:val="22"/>
        </w:rPr>
        <w:t xml:space="preserve"> introdujo en </w:t>
      </w:r>
      <w:proofErr w:type="spellStart"/>
      <w:r>
        <w:rPr>
          <w:sz w:val="22"/>
          <w:szCs w:val="22"/>
        </w:rPr>
        <w:t>elanimal</w:t>
      </w:r>
      <w:proofErr w:type="gramStart"/>
      <w:r>
        <w:rPr>
          <w:sz w:val="22"/>
          <w:szCs w:val="22"/>
        </w:rPr>
        <w:t>,y</w:t>
      </w:r>
      <w:proofErr w:type="spellEnd"/>
      <w:proofErr w:type="gramEnd"/>
      <w:r>
        <w:rPr>
          <w:sz w:val="22"/>
          <w:szCs w:val="22"/>
        </w:rPr>
        <w:t xml:space="preserve"> sise pasa a </w:t>
      </w:r>
      <w:proofErr w:type="spellStart"/>
      <w:r>
        <w:rPr>
          <w:sz w:val="22"/>
          <w:szCs w:val="22"/>
        </w:rPr>
        <w:t>ladescendenciade</w:t>
      </w:r>
      <w:proofErr w:type="spellEnd"/>
      <w:r>
        <w:rPr>
          <w:sz w:val="22"/>
          <w:szCs w:val="22"/>
        </w:rPr>
        <w:t xml:space="preserve"> una manera predecible; </w:t>
      </w:r>
    </w:p>
    <w:p w:rsidR="00DB707F" w:rsidRDefault="00DB707F" w:rsidP="00DB707F">
      <w:r>
        <w:t xml:space="preserve">•Caracterización </w:t>
      </w:r>
      <w:proofErr w:type="spellStart"/>
      <w:r>
        <w:t>fenotípicadel</w:t>
      </w:r>
      <w:proofErr w:type="spellEnd"/>
      <w:r>
        <w:t xml:space="preserve"> </w:t>
      </w:r>
      <w:proofErr w:type="spellStart"/>
      <w:r>
        <w:t>animalGE</w:t>
      </w:r>
      <w:proofErr w:type="gramStart"/>
      <w:r>
        <w:t>:información</w:t>
      </w:r>
      <w:proofErr w:type="spellEnd"/>
      <w:proofErr w:type="gramEnd"/>
      <w:r>
        <w:t xml:space="preserve"> que describe </w:t>
      </w:r>
      <w:proofErr w:type="spellStart"/>
      <w:r>
        <w:t>elanimal</w:t>
      </w:r>
      <w:proofErr w:type="spellEnd"/>
      <w:r>
        <w:t xml:space="preserve"> genéticamente modificado, incluyendo datos completos sobre </w:t>
      </w:r>
      <w:proofErr w:type="spellStart"/>
      <w:r>
        <w:t>lasalud</w:t>
      </w:r>
      <w:proofErr w:type="spellEnd"/>
      <w:r>
        <w:t xml:space="preserve"> delos animales;</w:t>
      </w:r>
    </w:p>
    <w:p w:rsidR="00DB707F" w:rsidRDefault="00DB707F" w:rsidP="00DB707F">
      <w:pPr>
        <w:pStyle w:val="Default"/>
        <w:rPr>
          <w:sz w:val="22"/>
          <w:szCs w:val="22"/>
        </w:rPr>
      </w:pPr>
      <w:r>
        <w:rPr>
          <w:sz w:val="22"/>
          <w:szCs w:val="22"/>
        </w:rPr>
        <w:t xml:space="preserve">• </w:t>
      </w:r>
      <w:proofErr w:type="spellStart"/>
      <w:r>
        <w:rPr>
          <w:sz w:val="22"/>
          <w:szCs w:val="22"/>
        </w:rPr>
        <w:t>PlanDurabilidad</w:t>
      </w:r>
      <w:proofErr w:type="spellEnd"/>
      <w:r>
        <w:rPr>
          <w:sz w:val="22"/>
          <w:szCs w:val="22"/>
        </w:rPr>
        <w:t xml:space="preserve">: demuestra que la descendencia (más </w:t>
      </w:r>
      <w:proofErr w:type="spellStart"/>
      <w:r>
        <w:rPr>
          <w:sz w:val="22"/>
          <w:szCs w:val="22"/>
        </w:rPr>
        <w:t>devarias</w:t>
      </w:r>
      <w:proofErr w:type="spellEnd"/>
      <w:r>
        <w:rPr>
          <w:sz w:val="22"/>
          <w:szCs w:val="22"/>
        </w:rPr>
        <w:t xml:space="preserve"> generaciones) siguen </w:t>
      </w:r>
      <w:proofErr w:type="spellStart"/>
      <w:r>
        <w:rPr>
          <w:sz w:val="22"/>
          <w:szCs w:val="22"/>
        </w:rPr>
        <w:t>heredarel</w:t>
      </w:r>
      <w:proofErr w:type="spellEnd"/>
      <w:r>
        <w:rPr>
          <w:sz w:val="22"/>
          <w:szCs w:val="22"/>
        </w:rPr>
        <w:t xml:space="preserve"> </w:t>
      </w:r>
      <w:proofErr w:type="spellStart"/>
      <w:r>
        <w:rPr>
          <w:sz w:val="22"/>
          <w:szCs w:val="22"/>
        </w:rPr>
        <w:t>constructode</w:t>
      </w:r>
      <w:proofErr w:type="spellEnd"/>
      <w:r>
        <w:rPr>
          <w:sz w:val="22"/>
          <w:szCs w:val="22"/>
        </w:rPr>
        <w:t xml:space="preserve"> </w:t>
      </w:r>
      <w:proofErr w:type="spellStart"/>
      <w:r>
        <w:rPr>
          <w:sz w:val="22"/>
          <w:szCs w:val="22"/>
        </w:rPr>
        <w:t>ADNry</w:t>
      </w:r>
      <w:proofErr w:type="spellEnd"/>
      <w:r>
        <w:rPr>
          <w:sz w:val="22"/>
          <w:szCs w:val="22"/>
        </w:rPr>
        <w:t xml:space="preserve"> </w:t>
      </w:r>
      <w:proofErr w:type="spellStart"/>
      <w:r>
        <w:rPr>
          <w:sz w:val="22"/>
          <w:szCs w:val="22"/>
        </w:rPr>
        <w:t>quesiguen</w:t>
      </w:r>
      <w:proofErr w:type="spellEnd"/>
      <w:r>
        <w:rPr>
          <w:sz w:val="22"/>
          <w:szCs w:val="22"/>
        </w:rPr>
        <w:t xml:space="preserve"> </w:t>
      </w:r>
      <w:proofErr w:type="spellStart"/>
      <w:r>
        <w:rPr>
          <w:sz w:val="22"/>
          <w:szCs w:val="22"/>
        </w:rPr>
        <w:t>expresandoel</w:t>
      </w:r>
      <w:proofErr w:type="spellEnd"/>
      <w:r>
        <w:rPr>
          <w:sz w:val="22"/>
          <w:szCs w:val="22"/>
        </w:rPr>
        <w:t xml:space="preserve"> nuevo rasgo; </w:t>
      </w:r>
    </w:p>
    <w:p w:rsidR="00DB707F" w:rsidRDefault="00DB707F" w:rsidP="00DB707F">
      <w:pPr>
        <w:pStyle w:val="Default"/>
        <w:rPr>
          <w:sz w:val="22"/>
          <w:szCs w:val="22"/>
        </w:rPr>
      </w:pPr>
      <w:r>
        <w:rPr>
          <w:sz w:val="22"/>
          <w:szCs w:val="22"/>
        </w:rPr>
        <w:t xml:space="preserve">• Medio </w:t>
      </w:r>
      <w:proofErr w:type="spellStart"/>
      <w:r>
        <w:rPr>
          <w:sz w:val="22"/>
          <w:szCs w:val="22"/>
        </w:rPr>
        <w:t>ambientey</w:t>
      </w:r>
      <w:proofErr w:type="spellEnd"/>
      <w:r>
        <w:rPr>
          <w:sz w:val="22"/>
          <w:szCs w:val="22"/>
        </w:rPr>
        <w:t xml:space="preserve"> alimentos/ </w:t>
      </w:r>
      <w:proofErr w:type="spellStart"/>
      <w:r>
        <w:rPr>
          <w:sz w:val="22"/>
          <w:szCs w:val="22"/>
        </w:rPr>
        <w:t>piensosseguridad</w:t>
      </w:r>
      <w:proofErr w:type="spellEnd"/>
      <w:r>
        <w:rPr>
          <w:sz w:val="22"/>
          <w:szCs w:val="22"/>
        </w:rPr>
        <w:t xml:space="preserve">: la evaluación de los </w:t>
      </w:r>
      <w:proofErr w:type="spellStart"/>
      <w:r>
        <w:rPr>
          <w:sz w:val="22"/>
          <w:szCs w:val="22"/>
        </w:rPr>
        <w:t>impactosambientales</w:t>
      </w:r>
      <w:proofErr w:type="spellEnd"/>
      <w:r>
        <w:rPr>
          <w:sz w:val="22"/>
          <w:szCs w:val="22"/>
        </w:rPr>
        <w:t xml:space="preserve"> </w:t>
      </w:r>
      <w:proofErr w:type="spellStart"/>
      <w:r>
        <w:rPr>
          <w:sz w:val="22"/>
          <w:szCs w:val="22"/>
        </w:rPr>
        <w:t>yde</w:t>
      </w:r>
      <w:proofErr w:type="spellEnd"/>
      <w:r>
        <w:rPr>
          <w:sz w:val="22"/>
          <w:szCs w:val="22"/>
        </w:rPr>
        <w:t xml:space="preserve"> los </w:t>
      </w:r>
      <w:proofErr w:type="spellStart"/>
      <w:r>
        <w:rPr>
          <w:sz w:val="22"/>
          <w:szCs w:val="22"/>
        </w:rPr>
        <w:t>animalestransgénicosdestinados</w:t>
      </w:r>
      <w:proofErr w:type="spellEnd"/>
      <w:r>
        <w:rPr>
          <w:sz w:val="22"/>
          <w:szCs w:val="22"/>
        </w:rPr>
        <w:t xml:space="preserve"> a la alimentación, que los alimentos </w:t>
      </w:r>
      <w:proofErr w:type="spellStart"/>
      <w:r>
        <w:rPr>
          <w:sz w:val="22"/>
          <w:szCs w:val="22"/>
        </w:rPr>
        <w:t>delosanimales</w:t>
      </w:r>
      <w:proofErr w:type="spellEnd"/>
      <w:r>
        <w:rPr>
          <w:sz w:val="22"/>
          <w:szCs w:val="22"/>
        </w:rPr>
        <w:t xml:space="preserve"> genéticamente </w:t>
      </w:r>
      <w:proofErr w:type="spellStart"/>
      <w:r>
        <w:rPr>
          <w:sz w:val="22"/>
          <w:szCs w:val="22"/>
        </w:rPr>
        <w:t>modificadosson</w:t>
      </w:r>
      <w:proofErr w:type="spellEnd"/>
      <w:r>
        <w:rPr>
          <w:sz w:val="22"/>
          <w:szCs w:val="22"/>
        </w:rPr>
        <w:t xml:space="preserve"> seguros para </w:t>
      </w:r>
      <w:proofErr w:type="spellStart"/>
      <w:r>
        <w:rPr>
          <w:sz w:val="22"/>
          <w:szCs w:val="22"/>
        </w:rPr>
        <w:t>comerpara</w:t>
      </w:r>
      <w:proofErr w:type="spellEnd"/>
      <w:r>
        <w:rPr>
          <w:sz w:val="22"/>
          <w:szCs w:val="22"/>
        </w:rPr>
        <w:t xml:space="preserve"> los seres </w:t>
      </w:r>
      <w:proofErr w:type="spellStart"/>
      <w:r>
        <w:rPr>
          <w:sz w:val="22"/>
          <w:szCs w:val="22"/>
        </w:rPr>
        <w:t>humanosy</w:t>
      </w:r>
      <w:proofErr w:type="spellEnd"/>
      <w:r>
        <w:rPr>
          <w:sz w:val="22"/>
          <w:szCs w:val="22"/>
        </w:rPr>
        <w:t xml:space="preserve"> / o animales; </w:t>
      </w:r>
    </w:p>
    <w:p w:rsidR="00DB707F" w:rsidRDefault="00DB707F" w:rsidP="00DB707F">
      <w:pPr>
        <w:pStyle w:val="Default"/>
        <w:rPr>
          <w:sz w:val="22"/>
          <w:szCs w:val="22"/>
        </w:rPr>
      </w:pPr>
      <w:r>
        <w:rPr>
          <w:sz w:val="22"/>
          <w:szCs w:val="22"/>
        </w:rPr>
        <w:t xml:space="preserve">• </w:t>
      </w:r>
      <w:proofErr w:type="spellStart"/>
      <w:r>
        <w:rPr>
          <w:sz w:val="22"/>
          <w:szCs w:val="22"/>
        </w:rPr>
        <w:t>Reclamaciónde</w:t>
      </w:r>
      <w:proofErr w:type="spellEnd"/>
      <w:r>
        <w:rPr>
          <w:sz w:val="22"/>
          <w:szCs w:val="22"/>
        </w:rPr>
        <w:t xml:space="preserve"> </w:t>
      </w:r>
      <w:proofErr w:type="spellStart"/>
      <w:r>
        <w:rPr>
          <w:sz w:val="22"/>
          <w:szCs w:val="22"/>
        </w:rPr>
        <w:t>validación</w:t>
      </w:r>
      <w:proofErr w:type="gramStart"/>
      <w:r>
        <w:rPr>
          <w:sz w:val="22"/>
          <w:szCs w:val="22"/>
        </w:rPr>
        <w:t>:una</w:t>
      </w:r>
      <w:proofErr w:type="spellEnd"/>
      <w:proofErr w:type="gramEnd"/>
      <w:r>
        <w:rPr>
          <w:sz w:val="22"/>
          <w:szCs w:val="22"/>
        </w:rPr>
        <w:t xml:space="preserve"> demostración de que </w:t>
      </w:r>
      <w:proofErr w:type="spellStart"/>
      <w:r>
        <w:rPr>
          <w:sz w:val="22"/>
          <w:szCs w:val="22"/>
        </w:rPr>
        <w:t>elanimal</w:t>
      </w:r>
      <w:proofErr w:type="spellEnd"/>
      <w:r>
        <w:rPr>
          <w:sz w:val="22"/>
          <w:szCs w:val="22"/>
        </w:rPr>
        <w:t xml:space="preserve"> genéticamente </w:t>
      </w:r>
      <w:proofErr w:type="spellStart"/>
      <w:r>
        <w:rPr>
          <w:sz w:val="22"/>
          <w:szCs w:val="22"/>
        </w:rPr>
        <w:t>modificadotiene</w:t>
      </w:r>
      <w:proofErr w:type="spellEnd"/>
      <w:r>
        <w:rPr>
          <w:sz w:val="22"/>
          <w:szCs w:val="22"/>
        </w:rPr>
        <w:t xml:space="preserve"> las </w:t>
      </w:r>
      <w:proofErr w:type="spellStart"/>
      <w:r>
        <w:rPr>
          <w:sz w:val="22"/>
          <w:szCs w:val="22"/>
        </w:rPr>
        <w:t>característicasque</w:t>
      </w:r>
      <w:proofErr w:type="spellEnd"/>
      <w:r>
        <w:rPr>
          <w:sz w:val="22"/>
          <w:szCs w:val="22"/>
        </w:rPr>
        <w:t xml:space="preserve"> el </w:t>
      </w:r>
      <w:proofErr w:type="spellStart"/>
      <w:r>
        <w:rPr>
          <w:sz w:val="22"/>
          <w:szCs w:val="22"/>
        </w:rPr>
        <w:t>desarrolladordiceque</w:t>
      </w:r>
      <w:proofErr w:type="spellEnd"/>
      <w:r>
        <w:rPr>
          <w:sz w:val="22"/>
          <w:szCs w:val="22"/>
        </w:rPr>
        <w:t xml:space="preserve"> tiene. </w:t>
      </w:r>
    </w:p>
    <w:p w:rsidR="00DB707F" w:rsidRDefault="00DB707F" w:rsidP="00DB707F">
      <w:pPr>
        <w:pStyle w:val="Default"/>
        <w:rPr>
          <w:sz w:val="22"/>
          <w:szCs w:val="22"/>
        </w:rPr>
      </w:pPr>
      <w:r>
        <w:rPr>
          <w:sz w:val="22"/>
          <w:szCs w:val="22"/>
        </w:rPr>
        <w:t xml:space="preserve">La FDA establece que los animales genéticamente </w:t>
      </w:r>
      <w:proofErr w:type="spellStart"/>
      <w:r>
        <w:rPr>
          <w:sz w:val="22"/>
          <w:szCs w:val="22"/>
        </w:rPr>
        <w:t>modificadosestán</w:t>
      </w:r>
      <w:proofErr w:type="spellEnd"/>
      <w:r>
        <w:rPr>
          <w:sz w:val="22"/>
          <w:szCs w:val="22"/>
        </w:rPr>
        <w:t xml:space="preserve"> sujetos a </w:t>
      </w:r>
      <w:proofErr w:type="spellStart"/>
      <w:r>
        <w:rPr>
          <w:sz w:val="22"/>
          <w:szCs w:val="22"/>
        </w:rPr>
        <w:t>controlprevio</w:t>
      </w:r>
      <w:proofErr w:type="spellEnd"/>
      <w:r>
        <w:rPr>
          <w:sz w:val="22"/>
          <w:szCs w:val="22"/>
        </w:rPr>
        <w:t xml:space="preserve"> a la </w:t>
      </w:r>
      <w:proofErr w:type="spellStart"/>
      <w:r>
        <w:rPr>
          <w:sz w:val="22"/>
          <w:szCs w:val="22"/>
        </w:rPr>
        <w:t>comercializaciónya</w:t>
      </w:r>
      <w:proofErr w:type="spellEnd"/>
      <w:r>
        <w:rPr>
          <w:sz w:val="22"/>
          <w:szCs w:val="22"/>
        </w:rPr>
        <w:t xml:space="preserve"> estén </w:t>
      </w:r>
      <w:proofErr w:type="spellStart"/>
      <w:r>
        <w:rPr>
          <w:sz w:val="22"/>
          <w:szCs w:val="22"/>
        </w:rPr>
        <w:t>destinadosaser</w:t>
      </w:r>
      <w:proofErr w:type="spellEnd"/>
      <w:r>
        <w:rPr>
          <w:sz w:val="22"/>
          <w:szCs w:val="22"/>
        </w:rPr>
        <w:t xml:space="preserve"> </w:t>
      </w:r>
      <w:proofErr w:type="spellStart"/>
      <w:r>
        <w:rPr>
          <w:sz w:val="22"/>
          <w:szCs w:val="22"/>
        </w:rPr>
        <w:t>utilizadospara</w:t>
      </w:r>
      <w:proofErr w:type="spellEnd"/>
      <w:r>
        <w:rPr>
          <w:sz w:val="22"/>
          <w:szCs w:val="22"/>
        </w:rPr>
        <w:t xml:space="preserve"> la alimentación </w:t>
      </w:r>
      <w:proofErr w:type="spellStart"/>
      <w:r>
        <w:rPr>
          <w:sz w:val="22"/>
          <w:szCs w:val="22"/>
        </w:rPr>
        <w:t>opara</w:t>
      </w:r>
      <w:proofErr w:type="spellEnd"/>
      <w:r>
        <w:rPr>
          <w:sz w:val="22"/>
          <w:szCs w:val="22"/>
        </w:rPr>
        <w:t xml:space="preserve"> producir productos </w:t>
      </w:r>
      <w:proofErr w:type="spellStart"/>
      <w:r>
        <w:rPr>
          <w:sz w:val="22"/>
          <w:szCs w:val="22"/>
        </w:rPr>
        <w:t>farmacéuticosu</w:t>
      </w:r>
      <w:proofErr w:type="spellEnd"/>
      <w:r>
        <w:rPr>
          <w:sz w:val="22"/>
          <w:szCs w:val="22"/>
        </w:rPr>
        <w:t xml:space="preserve"> otros productos útiles. Distingue eso sí, </w:t>
      </w:r>
      <w:proofErr w:type="spellStart"/>
      <w:r>
        <w:rPr>
          <w:sz w:val="22"/>
          <w:szCs w:val="22"/>
        </w:rPr>
        <w:t>algunasdiferencias</w:t>
      </w:r>
      <w:proofErr w:type="spellEnd"/>
      <w:r>
        <w:rPr>
          <w:sz w:val="22"/>
          <w:szCs w:val="22"/>
        </w:rPr>
        <w:t xml:space="preserve"> en lo </w:t>
      </w:r>
      <w:proofErr w:type="spellStart"/>
      <w:r>
        <w:rPr>
          <w:sz w:val="22"/>
          <w:szCs w:val="22"/>
        </w:rPr>
        <w:t>queel</w:t>
      </w:r>
      <w:proofErr w:type="spellEnd"/>
      <w:r>
        <w:rPr>
          <w:sz w:val="22"/>
          <w:szCs w:val="22"/>
        </w:rPr>
        <w:t xml:space="preserve"> proceso de </w:t>
      </w:r>
      <w:proofErr w:type="spellStart"/>
      <w:r>
        <w:rPr>
          <w:sz w:val="22"/>
          <w:szCs w:val="22"/>
        </w:rPr>
        <w:t>supervisiónactualconllevadependiendo</w:t>
      </w:r>
      <w:proofErr w:type="spellEnd"/>
      <w:r>
        <w:rPr>
          <w:sz w:val="22"/>
          <w:szCs w:val="22"/>
        </w:rPr>
        <w:t xml:space="preserve"> de </w:t>
      </w:r>
      <w:proofErr w:type="spellStart"/>
      <w:r>
        <w:rPr>
          <w:sz w:val="22"/>
          <w:szCs w:val="22"/>
        </w:rPr>
        <w:t>lostipos</w:t>
      </w:r>
      <w:proofErr w:type="spellEnd"/>
      <w:r>
        <w:rPr>
          <w:sz w:val="22"/>
          <w:szCs w:val="22"/>
        </w:rPr>
        <w:t xml:space="preserve"> de </w:t>
      </w:r>
      <w:proofErr w:type="spellStart"/>
      <w:r>
        <w:rPr>
          <w:sz w:val="22"/>
          <w:szCs w:val="22"/>
        </w:rPr>
        <w:t>riesgoque</w:t>
      </w:r>
      <w:proofErr w:type="spellEnd"/>
      <w:r>
        <w:rPr>
          <w:sz w:val="22"/>
          <w:szCs w:val="22"/>
        </w:rPr>
        <w:t xml:space="preserve"> los animales </w:t>
      </w:r>
      <w:proofErr w:type="spellStart"/>
      <w:r>
        <w:rPr>
          <w:sz w:val="22"/>
          <w:szCs w:val="22"/>
        </w:rPr>
        <w:t>transgénicospuedenplantear</w:t>
      </w:r>
      <w:proofErr w:type="spellEnd"/>
      <w:r>
        <w:rPr>
          <w:sz w:val="22"/>
          <w:szCs w:val="22"/>
        </w:rPr>
        <w:t xml:space="preserve">, y los tipos </w:t>
      </w:r>
      <w:proofErr w:type="spellStart"/>
      <w:r>
        <w:rPr>
          <w:sz w:val="22"/>
          <w:szCs w:val="22"/>
        </w:rPr>
        <w:t>deusos</w:t>
      </w:r>
      <w:proofErr w:type="spellEnd"/>
      <w:r>
        <w:rPr>
          <w:sz w:val="22"/>
          <w:szCs w:val="22"/>
        </w:rPr>
        <w:t xml:space="preserve"> a </w:t>
      </w:r>
      <w:proofErr w:type="spellStart"/>
      <w:r>
        <w:rPr>
          <w:sz w:val="22"/>
          <w:szCs w:val="22"/>
        </w:rPr>
        <w:t>quese</w:t>
      </w:r>
      <w:proofErr w:type="spellEnd"/>
      <w:r>
        <w:rPr>
          <w:sz w:val="22"/>
          <w:szCs w:val="22"/>
        </w:rPr>
        <w:t xml:space="preserve"> </w:t>
      </w:r>
      <w:proofErr w:type="spellStart"/>
      <w:r>
        <w:rPr>
          <w:sz w:val="22"/>
          <w:szCs w:val="22"/>
        </w:rPr>
        <w:t>destinan.Además</w:t>
      </w:r>
      <w:proofErr w:type="spellEnd"/>
      <w:r>
        <w:rPr>
          <w:sz w:val="22"/>
          <w:szCs w:val="22"/>
        </w:rPr>
        <w:t xml:space="preserve">, </w:t>
      </w:r>
      <w:proofErr w:type="spellStart"/>
      <w:r>
        <w:rPr>
          <w:sz w:val="22"/>
          <w:szCs w:val="22"/>
        </w:rPr>
        <w:t>losproductos</w:t>
      </w:r>
      <w:proofErr w:type="spellEnd"/>
      <w:r>
        <w:rPr>
          <w:sz w:val="22"/>
          <w:szCs w:val="22"/>
        </w:rPr>
        <w:t xml:space="preserve"> </w:t>
      </w:r>
      <w:proofErr w:type="spellStart"/>
      <w:r>
        <w:rPr>
          <w:sz w:val="22"/>
          <w:szCs w:val="22"/>
        </w:rPr>
        <w:t>farmacéuticosproducidos</w:t>
      </w:r>
      <w:proofErr w:type="spellEnd"/>
      <w:r>
        <w:rPr>
          <w:sz w:val="22"/>
          <w:szCs w:val="22"/>
        </w:rPr>
        <w:t xml:space="preserve"> a partir </w:t>
      </w:r>
      <w:proofErr w:type="spellStart"/>
      <w:r>
        <w:rPr>
          <w:sz w:val="22"/>
          <w:szCs w:val="22"/>
        </w:rPr>
        <w:t>deanimalestransgénicosdebe</w:t>
      </w:r>
      <w:proofErr w:type="spellEnd"/>
      <w:r>
        <w:rPr>
          <w:sz w:val="22"/>
          <w:szCs w:val="22"/>
        </w:rPr>
        <w:t xml:space="preserve"> ser aprobado </w:t>
      </w:r>
      <w:proofErr w:type="spellStart"/>
      <w:r>
        <w:rPr>
          <w:sz w:val="22"/>
          <w:szCs w:val="22"/>
        </w:rPr>
        <w:t>porel</w:t>
      </w:r>
      <w:proofErr w:type="spellEnd"/>
      <w:r>
        <w:rPr>
          <w:sz w:val="22"/>
          <w:szCs w:val="22"/>
        </w:rPr>
        <w:t xml:space="preserve"> mismo proceso </w:t>
      </w:r>
      <w:proofErr w:type="spellStart"/>
      <w:r>
        <w:rPr>
          <w:sz w:val="22"/>
          <w:szCs w:val="22"/>
        </w:rPr>
        <w:t>quese</w:t>
      </w:r>
      <w:proofErr w:type="spellEnd"/>
      <w:r>
        <w:rPr>
          <w:sz w:val="22"/>
          <w:szCs w:val="22"/>
        </w:rPr>
        <w:t xml:space="preserve"> aplica </w:t>
      </w:r>
      <w:proofErr w:type="spellStart"/>
      <w:r>
        <w:rPr>
          <w:sz w:val="22"/>
          <w:szCs w:val="22"/>
        </w:rPr>
        <w:t>aotros</w:t>
      </w:r>
      <w:proofErr w:type="spellEnd"/>
      <w:r>
        <w:rPr>
          <w:sz w:val="22"/>
          <w:szCs w:val="22"/>
        </w:rPr>
        <w:t xml:space="preserve"> productos </w:t>
      </w:r>
      <w:proofErr w:type="spellStart"/>
      <w:r>
        <w:rPr>
          <w:sz w:val="22"/>
          <w:szCs w:val="22"/>
        </w:rPr>
        <w:t>farmacéuticos.Se</w:t>
      </w:r>
      <w:proofErr w:type="spellEnd"/>
      <w:r>
        <w:rPr>
          <w:sz w:val="22"/>
          <w:szCs w:val="22"/>
        </w:rPr>
        <w:t xml:space="preserve"> considera pues que “</w:t>
      </w:r>
      <w:proofErr w:type="spellStart"/>
      <w:r>
        <w:rPr>
          <w:sz w:val="22"/>
          <w:szCs w:val="22"/>
        </w:rPr>
        <w:t>Engeneral</w:t>
      </w:r>
      <w:proofErr w:type="gramStart"/>
      <w:r>
        <w:rPr>
          <w:sz w:val="22"/>
          <w:szCs w:val="22"/>
        </w:rPr>
        <w:t>,no</w:t>
      </w:r>
      <w:proofErr w:type="spellEnd"/>
      <w:proofErr w:type="gramEnd"/>
      <w:r>
        <w:rPr>
          <w:sz w:val="22"/>
          <w:szCs w:val="22"/>
        </w:rPr>
        <w:t xml:space="preserve"> </w:t>
      </w:r>
      <w:proofErr w:type="spellStart"/>
      <w:r>
        <w:rPr>
          <w:sz w:val="22"/>
          <w:szCs w:val="22"/>
        </w:rPr>
        <w:t>esperamosque</w:t>
      </w:r>
      <w:proofErr w:type="spellEnd"/>
      <w:r>
        <w:rPr>
          <w:sz w:val="22"/>
          <w:szCs w:val="22"/>
        </w:rPr>
        <w:t xml:space="preserve"> los </w:t>
      </w:r>
      <w:proofErr w:type="spellStart"/>
      <w:r>
        <w:rPr>
          <w:sz w:val="22"/>
          <w:szCs w:val="22"/>
        </w:rPr>
        <w:t>animalesbiofarmacéuticosserán</w:t>
      </w:r>
      <w:proofErr w:type="spellEnd"/>
      <w:r>
        <w:rPr>
          <w:sz w:val="22"/>
          <w:szCs w:val="22"/>
        </w:rPr>
        <w:t xml:space="preserve"> </w:t>
      </w:r>
      <w:proofErr w:type="spellStart"/>
      <w:r>
        <w:rPr>
          <w:sz w:val="22"/>
          <w:szCs w:val="22"/>
        </w:rPr>
        <w:t>utilizadospara</w:t>
      </w:r>
      <w:proofErr w:type="spellEnd"/>
      <w:r>
        <w:rPr>
          <w:sz w:val="22"/>
          <w:szCs w:val="22"/>
        </w:rPr>
        <w:t xml:space="preserve"> la alimentación.” Explicitando el menor estudio de los casos no relacionados con alimentación. </w:t>
      </w:r>
    </w:p>
    <w:p w:rsidR="00DB707F" w:rsidRDefault="00DB707F" w:rsidP="00DB707F">
      <w:pPr>
        <w:pStyle w:val="Default"/>
        <w:rPr>
          <w:sz w:val="22"/>
          <w:szCs w:val="22"/>
        </w:rPr>
      </w:pPr>
      <w:r>
        <w:rPr>
          <w:sz w:val="22"/>
          <w:szCs w:val="22"/>
        </w:rPr>
        <w:t xml:space="preserve">Añade la FDA que la vigilancia post salida al </w:t>
      </w:r>
      <w:proofErr w:type="spellStart"/>
      <w:r>
        <w:rPr>
          <w:sz w:val="22"/>
          <w:szCs w:val="22"/>
        </w:rPr>
        <w:t>mercadopueden</w:t>
      </w:r>
      <w:proofErr w:type="spellEnd"/>
      <w:r>
        <w:rPr>
          <w:sz w:val="22"/>
          <w:szCs w:val="22"/>
        </w:rPr>
        <w:t xml:space="preserve"> variaren función del </w:t>
      </w:r>
      <w:proofErr w:type="spellStart"/>
      <w:r>
        <w:rPr>
          <w:sz w:val="22"/>
          <w:szCs w:val="22"/>
        </w:rPr>
        <w:t>animalGM.Sin</w:t>
      </w:r>
      <w:proofErr w:type="spellEnd"/>
      <w:r>
        <w:rPr>
          <w:sz w:val="22"/>
          <w:szCs w:val="22"/>
        </w:rPr>
        <w:t xml:space="preserve"> </w:t>
      </w:r>
      <w:proofErr w:type="spellStart"/>
      <w:r>
        <w:rPr>
          <w:sz w:val="22"/>
          <w:szCs w:val="22"/>
        </w:rPr>
        <w:t>embargo,al</w:t>
      </w:r>
      <w:proofErr w:type="spellEnd"/>
      <w:r>
        <w:rPr>
          <w:sz w:val="22"/>
          <w:szCs w:val="22"/>
        </w:rPr>
        <w:t xml:space="preserve"> igual que </w:t>
      </w:r>
      <w:proofErr w:type="spellStart"/>
      <w:r>
        <w:rPr>
          <w:sz w:val="22"/>
          <w:szCs w:val="22"/>
        </w:rPr>
        <w:t>conlos</w:t>
      </w:r>
      <w:proofErr w:type="spellEnd"/>
      <w:r>
        <w:rPr>
          <w:sz w:val="22"/>
          <w:szCs w:val="22"/>
        </w:rPr>
        <w:t xml:space="preserve"> </w:t>
      </w:r>
      <w:proofErr w:type="spellStart"/>
      <w:r>
        <w:rPr>
          <w:sz w:val="22"/>
          <w:szCs w:val="22"/>
        </w:rPr>
        <w:t>medicamentosconvencionales</w:t>
      </w:r>
      <w:proofErr w:type="spellEnd"/>
      <w:r>
        <w:rPr>
          <w:sz w:val="22"/>
          <w:szCs w:val="22"/>
        </w:rPr>
        <w:t xml:space="preserve"> la guía explicita </w:t>
      </w:r>
      <w:proofErr w:type="spellStart"/>
      <w:r>
        <w:rPr>
          <w:sz w:val="22"/>
          <w:szCs w:val="22"/>
        </w:rPr>
        <w:t>quepara</w:t>
      </w:r>
      <w:proofErr w:type="spellEnd"/>
      <w:r>
        <w:rPr>
          <w:sz w:val="22"/>
          <w:szCs w:val="22"/>
        </w:rPr>
        <w:t xml:space="preserve"> su </w:t>
      </w:r>
      <w:proofErr w:type="spellStart"/>
      <w:r>
        <w:rPr>
          <w:sz w:val="22"/>
          <w:szCs w:val="22"/>
        </w:rPr>
        <w:t>aplicaciónsedebe</w:t>
      </w:r>
      <w:proofErr w:type="spellEnd"/>
      <w:r>
        <w:rPr>
          <w:sz w:val="22"/>
          <w:szCs w:val="22"/>
        </w:rPr>
        <w:t xml:space="preserve"> demostrar </w:t>
      </w:r>
      <w:proofErr w:type="spellStart"/>
      <w:r>
        <w:rPr>
          <w:sz w:val="22"/>
          <w:szCs w:val="22"/>
        </w:rPr>
        <w:t>queel</w:t>
      </w:r>
      <w:proofErr w:type="spellEnd"/>
      <w:r>
        <w:rPr>
          <w:sz w:val="22"/>
          <w:szCs w:val="22"/>
        </w:rPr>
        <w:t xml:space="preserve"> constructo </w:t>
      </w:r>
      <w:proofErr w:type="spellStart"/>
      <w:r>
        <w:rPr>
          <w:sz w:val="22"/>
          <w:szCs w:val="22"/>
        </w:rPr>
        <w:t>deADN</w:t>
      </w:r>
      <w:proofErr w:type="spellEnd"/>
      <w:r>
        <w:rPr>
          <w:sz w:val="22"/>
          <w:szCs w:val="22"/>
        </w:rPr>
        <w:t xml:space="preserve"> </w:t>
      </w:r>
      <w:proofErr w:type="spellStart"/>
      <w:r>
        <w:rPr>
          <w:sz w:val="22"/>
          <w:szCs w:val="22"/>
        </w:rPr>
        <w:t>recombinantees</w:t>
      </w:r>
      <w:proofErr w:type="spellEnd"/>
      <w:r>
        <w:rPr>
          <w:sz w:val="22"/>
          <w:szCs w:val="22"/>
        </w:rPr>
        <w:t xml:space="preserve"> estableen el </w:t>
      </w:r>
      <w:proofErr w:type="spellStart"/>
      <w:r>
        <w:rPr>
          <w:sz w:val="22"/>
          <w:szCs w:val="22"/>
        </w:rPr>
        <w:t>tiempo,y</w:t>
      </w:r>
      <w:proofErr w:type="spellEnd"/>
      <w:r>
        <w:rPr>
          <w:sz w:val="22"/>
          <w:szCs w:val="22"/>
        </w:rPr>
        <w:t xml:space="preserve"> que </w:t>
      </w:r>
      <w:proofErr w:type="spellStart"/>
      <w:r>
        <w:rPr>
          <w:sz w:val="22"/>
          <w:szCs w:val="22"/>
        </w:rPr>
        <w:t>elanimal</w:t>
      </w:r>
      <w:proofErr w:type="spellEnd"/>
      <w:r>
        <w:rPr>
          <w:sz w:val="22"/>
          <w:szCs w:val="22"/>
        </w:rPr>
        <w:t xml:space="preserve"> genéticamente </w:t>
      </w:r>
      <w:proofErr w:type="spellStart"/>
      <w:r>
        <w:rPr>
          <w:sz w:val="22"/>
          <w:szCs w:val="22"/>
        </w:rPr>
        <w:t>modificadoconserva</w:t>
      </w:r>
      <w:proofErr w:type="spellEnd"/>
      <w:r>
        <w:rPr>
          <w:sz w:val="22"/>
          <w:szCs w:val="22"/>
        </w:rPr>
        <w:t xml:space="preserve"> las </w:t>
      </w:r>
      <w:proofErr w:type="spellStart"/>
      <w:r>
        <w:rPr>
          <w:sz w:val="22"/>
          <w:szCs w:val="22"/>
        </w:rPr>
        <w:t>características.Al</w:t>
      </w:r>
      <w:proofErr w:type="spellEnd"/>
      <w:r>
        <w:rPr>
          <w:sz w:val="22"/>
          <w:szCs w:val="22"/>
        </w:rPr>
        <w:t xml:space="preserve"> igual que </w:t>
      </w:r>
      <w:proofErr w:type="spellStart"/>
      <w:r>
        <w:rPr>
          <w:sz w:val="22"/>
          <w:szCs w:val="22"/>
        </w:rPr>
        <w:t>conlos</w:t>
      </w:r>
      <w:proofErr w:type="spellEnd"/>
      <w:r>
        <w:rPr>
          <w:sz w:val="22"/>
          <w:szCs w:val="22"/>
        </w:rPr>
        <w:t xml:space="preserve"> medicamentos convencionales, si la información se deduce </w:t>
      </w:r>
      <w:proofErr w:type="spellStart"/>
      <w:r>
        <w:rPr>
          <w:sz w:val="22"/>
          <w:szCs w:val="22"/>
        </w:rPr>
        <w:t>quehay</w:t>
      </w:r>
      <w:proofErr w:type="spellEnd"/>
      <w:r>
        <w:rPr>
          <w:sz w:val="22"/>
          <w:szCs w:val="22"/>
        </w:rPr>
        <w:t xml:space="preserve"> problemas de seguridad, o si el animal genéticamente </w:t>
      </w:r>
      <w:proofErr w:type="spellStart"/>
      <w:r>
        <w:rPr>
          <w:sz w:val="22"/>
          <w:szCs w:val="22"/>
        </w:rPr>
        <w:t>modificadoya</w:t>
      </w:r>
      <w:proofErr w:type="spellEnd"/>
      <w:r>
        <w:rPr>
          <w:sz w:val="22"/>
          <w:szCs w:val="22"/>
        </w:rPr>
        <w:t xml:space="preserve"> no tiene </w:t>
      </w:r>
      <w:proofErr w:type="spellStart"/>
      <w:r>
        <w:rPr>
          <w:sz w:val="22"/>
          <w:szCs w:val="22"/>
        </w:rPr>
        <w:t>lascaracterísticas</w:t>
      </w:r>
      <w:proofErr w:type="spellEnd"/>
      <w:r>
        <w:rPr>
          <w:sz w:val="22"/>
          <w:szCs w:val="22"/>
        </w:rPr>
        <w:t xml:space="preserve"> que se </w:t>
      </w:r>
      <w:proofErr w:type="spellStart"/>
      <w:r>
        <w:rPr>
          <w:sz w:val="22"/>
          <w:szCs w:val="22"/>
        </w:rPr>
        <w:t>reivindicanpor</w:t>
      </w:r>
      <w:proofErr w:type="spellEnd"/>
      <w:r>
        <w:rPr>
          <w:sz w:val="22"/>
          <w:szCs w:val="22"/>
        </w:rPr>
        <w:t xml:space="preserve"> ello, la FDA puede tomar </w:t>
      </w:r>
      <w:proofErr w:type="spellStart"/>
      <w:r>
        <w:rPr>
          <w:sz w:val="22"/>
          <w:szCs w:val="22"/>
        </w:rPr>
        <w:t>medidaspara</w:t>
      </w:r>
      <w:proofErr w:type="spellEnd"/>
      <w:r>
        <w:rPr>
          <w:sz w:val="22"/>
          <w:szCs w:val="22"/>
        </w:rPr>
        <w:t xml:space="preserve"> que </w:t>
      </w:r>
      <w:proofErr w:type="spellStart"/>
      <w:r>
        <w:rPr>
          <w:sz w:val="22"/>
          <w:szCs w:val="22"/>
        </w:rPr>
        <w:t>elanimal</w:t>
      </w:r>
      <w:proofErr w:type="spellEnd"/>
      <w:r>
        <w:rPr>
          <w:sz w:val="22"/>
          <w:szCs w:val="22"/>
        </w:rPr>
        <w:t xml:space="preserve"> genéticamente </w:t>
      </w:r>
      <w:proofErr w:type="spellStart"/>
      <w:r>
        <w:rPr>
          <w:sz w:val="22"/>
          <w:szCs w:val="22"/>
        </w:rPr>
        <w:t>modificadosea</w:t>
      </w:r>
      <w:proofErr w:type="spellEnd"/>
      <w:r>
        <w:rPr>
          <w:sz w:val="22"/>
          <w:szCs w:val="22"/>
        </w:rPr>
        <w:t xml:space="preserve"> retirado </w:t>
      </w:r>
      <w:proofErr w:type="spellStart"/>
      <w:r>
        <w:rPr>
          <w:sz w:val="22"/>
          <w:szCs w:val="22"/>
        </w:rPr>
        <w:t>delmercado</w:t>
      </w:r>
      <w:proofErr w:type="spellEnd"/>
      <w:r>
        <w:rPr>
          <w:sz w:val="22"/>
          <w:szCs w:val="22"/>
        </w:rPr>
        <w:t xml:space="preserve">. </w:t>
      </w:r>
    </w:p>
    <w:p w:rsidR="00DB707F" w:rsidRDefault="00DB707F" w:rsidP="00DB707F">
      <w:pPr>
        <w:pStyle w:val="Default"/>
        <w:rPr>
          <w:sz w:val="22"/>
          <w:szCs w:val="22"/>
        </w:rPr>
      </w:pPr>
      <w:r>
        <w:rPr>
          <w:sz w:val="22"/>
          <w:szCs w:val="22"/>
        </w:rPr>
        <w:t xml:space="preserve">Más allá de la salud del consumidor, la FDA recalca la importancia del estudio de si </w:t>
      </w:r>
      <w:proofErr w:type="spellStart"/>
      <w:r>
        <w:rPr>
          <w:sz w:val="22"/>
          <w:szCs w:val="22"/>
        </w:rPr>
        <w:t>elmedicamento</w:t>
      </w:r>
      <w:proofErr w:type="spellEnd"/>
      <w:r>
        <w:rPr>
          <w:sz w:val="22"/>
          <w:szCs w:val="22"/>
        </w:rPr>
        <w:t xml:space="preserve"> (en este caso ADN r es seguro para el animal que lo recibe. Explicitan que: “Por lo tanto, antes de que </w:t>
      </w:r>
      <w:proofErr w:type="spellStart"/>
      <w:r>
        <w:rPr>
          <w:sz w:val="22"/>
          <w:szCs w:val="22"/>
        </w:rPr>
        <w:t>podamosaprobarunanimal</w:t>
      </w:r>
      <w:proofErr w:type="spellEnd"/>
      <w:r>
        <w:rPr>
          <w:sz w:val="22"/>
          <w:szCs w:val="22"/>
        </w:rPr>
        <w:t xml:space="preserve"> genéticamente modificado, debemos determinar que el </w:t>
      </w:r>
      <w:proofErr w:type="spellStart"/>
      <w:r>
        <w:rPr>
          <w:sz w:val="22"/>
          <w:szCs w:val="22"/>
        </w:rPr>
        <w:t>constructode</w:t>
      </w:r>
      <w:proofErr w:type="spellEnd"/>
      <w:r>
        <w:rPr>
          <w:sz w:val="22"/>
          <w:szCs w:val="22"/>
        </w:rPr>
        <w:t xml:space="preserve"> </w:t>
      </w:r>
      <w:proofErr w:type="spellStart"/>
      <w:r>
        <w:rPr>
          <w:sz w:val="22"/>
          <w:szCs w:val="22"/>
        </w:rPr>
        <w:t>ADNres</w:t>
      </w:r>
      <w:proofErr w:type="spellEnd"/>
      <w:r>
        <w:rPr>
          <w:sz w:val="22"/>
          <w:szCs w:val="22"/>
        </w:rPr>
        <w:t xml:space="preserve"> seguro </w:t>
      </w:r>
      <w:proofErr w:type="spellStart"/>
      <w:r>
        <w:rPr>
          <w:sz w:val="22"/>
          <w:szCs w:val="22"/>
        </w:rPr>
        <w:t>parael</w:t>
      </w:r>
      <w:proofErr w:type="spellEnd"/>
      <w:r>
        <w:rPr>
          <w:sz w:val="22"/>
          <w:szCs w:val="22"/>
        </w:rPr>
        <w:t xml:space="preserve"> </w:t>
      </w:r>
      <w:proofErr w:type="spellStart"/>
      <w:r>
        <w:rPr>
          <w:sz w:val="22"/>
          <w:szCs w:val="22"/>
        </w:rPr>
        <w:t>animalque</w:t>
      </w:r>
      <w:proofErr w:type="spellEnd"/>
      <w:r>
        <w:rPr>
          <w:sz w:val="22"/>
          <w:szCs w:val="22"/>
        </w:rPr>
        <w:t xml:space="preserve"> lo contiene. Para ello, nos fijamos en la salud </w:t>
      </w:r>
      <w:proofErr w:type="spellStart"/>
      <w:r>
        <w:rPr>
          <w:sz w:val="22"/>
          <w:szCs w:val="22"/>
        </w:rPr>
        <w:t>delanimal</w:t>
      </w:r>
      <w:proofErr w:type="spellEnd"/>
      <w:r>
        <w:rPr>
          <w:sz w:val="22"/>
          <w:szCs w:val="22"/>
        </w:rPr>
        <w:t>” (</w:t>
      </w:r>
      <w:proofErr w:type="spellStart"/>
      <w:r>
        <w:rPr>
          <w:sz w:val="22"/>
          <w:szCs w:val="22"/>
        </w:rPr>
        <w:t>recomendacionesque</w:t>
      </w:r>
      <w:proofErr w:type="spellEnd"/>
      <w:r>
        <w:rPr>
          <w:sz w:val="22"/>
          <w:szCs w:val="22"/>
        </w:rPr>
        <w:t xml:space="preserve"> aparecen en la guía). También hace constar la FDA que todos los animales con riego potencial para el medio ambiente son evaluados por la NEPA</w:t>
      </w:r>
      <w:proofErr w:type="gramStart"/>
      <w:r>
        <w:rPr>
          <w:sz w:val="22"/>
          <w:szCs w:val="22"/>
        </w:rPr>
        <w:t>.(</w:t>
      </w:r>
      <w:proofErr w:type="gramEnd"/>
      <w:r>
        <w:rPr>
          <w:sz w:val="22"/>
          <w:szCs w:val="22"/>
        </w:rPr>
        <w:t xml:space="preserve">1) </w:t>
      </w:r>
    </w:p>
    <w:p w:rsidR="00DB707F" w:rsidRDefault="00DB707F" w:rsidP="00DB707F">
      <w:r>
        <w:t>Dejando de lado el proceso de revisión que han de cumplir los animales MG, y tras los pertinentes estudios, la FDA llegó a las conclusiones y valoraciones explicitadas en el apartado correspondiente de su web:</w:t>
      </w:r>
    </w:p>
    <w:p w:rsidR="00DB707F" w:rsidRDefault="00DB707F" w:rsidP="00DB707F"/>
    <w:p w:rsidR="00DB707F" w:rsidRDefault="00DB707F" w:rsidP="00DB707F">
      <w:pPr>
        <w:rPr>
          <w:color w:val="1F497D" w:themeColor="text2"/>
        </w:rPr>
      </w:pPr>
      <w:r>
        <w:rPr>
          <w:noProof/>
          <w:color w:val="1F497D" w:themeColor="text2"/>
          <w:lang w:eastAsia="es-ES"/>
        </w:rPr>
        <w:drawing>
          <wp:inline distT="0" distB="0" distL="0" distR="0">
            <wp:extent cx="5781675" cy="2647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647950"/>
                    </a:xfrm>
                    <a:prstGeom prst="rect">
                      <a:avLst/>
                    </a:prstGeom>
                    <a:noFill/>
                    <a:ln>
                      <a:noFill/>
                    </a:ln>
                  </pic:spPr>
                </pic:pic>
              </a:graphicData>
            </a:graphic>
          </wp:inline>
        </w:drawing>
      </w:r>
    </w:p>
    <w:p w:rsidR="00DB707F" w:rsidRDefault="00DB707F" w:rsidP="00DB707F">
      <w:pPr>
        <w:pStyle w:val="Default"/>
        <w:rPr>
          <w:sz w:val="22"/>
          <w:szCs w:val="22"/>
        </w:rPr>
      </w:pPr>
      <w:r>
        <w:rPr>
          <w:sz w:val="22"/>
          <w:szCs w:val="22"/>
        </w:rPr>
        <w:t xml:space="preserve">Respecto a los animales genéticamente modificados que tengan como objetivo productivo la síntesis de productos para medicamentos (la mayoría de animales modificados son utilizados en experimentación), la FDA constituye que la Ley Federal de Alimentos, Medicamentos y Cosméticos (FFDCA) debe aprobarlos antes de que sean autorizados en el mercado (recordamos que el mercado no siempre es mercado dirigido a alimentación). La FFDCA define una droga como "un artículo (a excepción de los alimentos) cuya intención es afectar a la estructura o cualquier función del cuerpo del hombre o de otros animales". Por lo tanto, el </w:t>
      </w:r>
      <w:proofErr w:type="spellStart"/>
      <w:r>
        <w:rPr>
          <w:sz w:val="22"/>
          <w:szCs w:val="22"/>
        </w:rPr>
        <w:t>rADN</w:t>
      </w:r>
      <w:proofErr w:type="spellEnd"/>
      <w:r>
        <w:rPr>
          <w:sz w:val="22"/>
          <w:szCs w:val="22"/>
        </w:rPr>
        <w:t xml:space="preserve"> es considerado como una droga, ya que cambia la estructura o función del cuerpo del animal genéticamente modificado. </w:t>
      </w:r>
    </w:p>
    <w:p w:rsidR="00DB707F" w:rsidRPr="00DB707F" w:rsidRDefault="00DB707F" w:rsidP="00DB707F">
      <w:pPr>
        <w:pStyle w:val="Default"/>
        <w:rPr>
          <w:sz w:val="22"/>
          <w:szCs w:val="22"/>
          <w:lang w:val="en-US"/>
        </w:rPr>
      </w:pPr>
      <w:proofErr w:type="spellStart"/>
      <w:r w:rsidRPr="00DB707F">
        <w:rPr>
          <w:sz w:val="22"/>
          <w:szCs w:val="22"/>
          <w:lang w:val="en-US"/>
        </w:rPr>
        <w:t>En</w:t>
      </w:r>
      <w:proofErr w:type="spellEnd"/>
      <w:r w:rsidRPr="00DB707F">
        <w:rPr>
          <w:sz w:val="22"/>
          <w:szCs w:val="22"/>
          <w:lang w:val="en-US"/>
        </w:rPr>
        <w:t xml:space="preserve"> </w:t>
      </w:r>
      <w:proofErr w:type="spellStart"/>
      <w:r w:rsidRPr="00DB707F">
        <w:rPr>
          <w:sz w:val="22"/>
          <w:szCs w:val="22"/>
          <w:lang w:val="en-US"/>
        </w:rPr>
        <w:t>propias</w:t>
      </w:r>
      <w:proofErr w:type="spellEnd"/>
      <w:r w:rsidRPr="00DB707F">
        <w:rPr>
          <w:sz w:val="22"/>
          <w:szCs w:val="22"/>
          <w:lang w:val="en-US"/>
        </w:rPr>
        <w:t xml:space="preserve"> palabras de la FDA: “</w:t>
      </w:r>
      <w:r w:rsidRPr="00DB707F">
        <w:rPr>
          <w:i/>
          <w:iCs/>
          <w:sz w:val="22"/>
          <w:szCs w:val="22"/>
          <w:lang w:val="en-US"/>
        </w:rPr>
        <w:t>FDA will review food and animal feed from GE animals before the food or feed can be marketed</w:t>
      </w:r>
      <w:proofErr w:type="gramStart"/>
      <w:r w:rsidRPr="00DB707F">
        <w:rPr>
          <w:i/>
          <w:iCs/>
          <w:sz w:val="22"/>
          <w:szCs w:val="22"/>
          <w:lang w:val="en-US"/>
        </w:rPr>
        <w:t>. "</w:t>
      </w:r>
      <w:proofErr w:type="gramEnd"/>
      <w:r w:rsidRPr="00DB707F">
        <w:rPr>
          <w:i/>
          <w:iCs/>
          <w:sz w:val="22"/>
          <w:szCs w:val="22"/>
          <w:lang w:val="en-US"/>
        </w:rPr>
        <w:t xml:space="preserve">We want the public to understand that food from GE animals will not enter the food supply unless FDA </w:t>
      </w:r>
      <w:r w:rsidRPr="00DB707F">
        <w:rPr>
          <w:i/>
          <w:iCs/>
          <w:sz w:val="22"/>
          <w:szCs w:val="22"/>
          <w:lang w:val="en-US"/>
        </w:rPr>
        <w:lastRenderedPageBreak/>
        <w:t xml:space="preserve">has determined that it is safe," says Bernadette Dunham, D.V.M., Ph.D., the director of FDA's Center for Veterinary Medicine.” </w:t>
      </w:r>
    </w:p>
    <w:p w:rsidR="00DB707F" w:rsidRDefault="00DB707F" w:rsidP="00DB707F">
      <w:pPr>
        <w:pStyle w:val="Default"/>
        <w:rPr>
          <w:sz w:val="22"/>
          <w:szCs w:val="22"/>
        </w:rPr>
      </w:pPr>
      <w:r>
        <w:rPr>
          <w:sz w:val="22"/>
          <w:szCs w:val="22"/>
        </w:rPr>
        <w:t xml:space="preserve">En cuanto a la posición de la FDA respecto a los animales modificados para uso dirigido a la </w:t>
      </w:r>
      <w:proofErr w:type="spellStart"/>
      <w:r>
        <w:rPr>
          <w:sz w:val="22"/>
          <w:szCs w:val="22"/>
        </w:rPr>
        <w:t>investigación,la</w:t>
      </w:r>
      <w:proofErr w:type="spellEnd"/>
      <w:r>
        <w:rPr>
          <w:sz w:val="22"/>
          <w:szCs w:val="22"/>
        </w:rPr>
        <w:t xml:space="preserve"> agencia no requiere la aprobación previa a la comercialización (siempre teniendo en cuenta los riesgos potenciales, como hemos comentado previamente) (repetimos, comercialización pero no como producto de consumo alimentario) de animales transgénicos de laboratorio utilizados para la investigación, y citan como ejemplo que no requieren la aprobación de un pez de acuario MG que brilla en la oscuridad. (1) (2) </w:t>
      </w:r>
    </w:p>
    <w:p w:rsidR="00DB707F" w:rsidRDefault="00DB707F" w:rsidP="00DB707F">
      <w:r>
        <w:t>Finalmente, destacamos un link de dudas y respuestas dirigido a industria y al consumidor, donde nos encontramos con una pregunta que puede preceder al siguiente punto de este apartado:</w:t>
      </w:r>
    </w:p>
    <w:p w:rsidR="00DB707F" w:rsidRPr="00DB707F" w:rsidRDefault="00DB707F" w:rsidP="00DB707F">
      <w:pPr>
        <w:autoSpaceDE w:val="0"/>
        <w:autoSpaceDN w:val="0"/>
        <w:adjustRightInd w:val="0"/>
        <w:spacing w:after="0" w:line="240" w:lineRule="auto"/>
        <w:rPr>
          <w:rFonts w:ascii="Times New Roman" w:hAnsi="Times New Roman" w:cs="Times New Roman"/>
          <w:color w:val="000000"/>
          <w:sz w:val="23"/>
          <w:szCs w:val="23"/>
          <w:lang w:val="en-US"/>
        </w:rPr>
      </w:pPr>
      <w:r w:rsidRPr="00DB707F">
        <w:rPr>
          <w:rFonts w:ascii="Times New Roman" w:hAnsi="Times New Roman" w:cs="Times New Roman"/>
          <w:b/>
          <w:bCs/>
          <w:i/>
          <w:iCs/>
          <w:color w:val="000000"/>
          <w:sz w:val="23"/>
          <w:szCs w:val="23"/>
          <w:lang w:val="en-US"/>
        </w:rPr>
        <w:t xml:space="preserve">“Q: Does the publication of this guidance in final form mean that GE animals are now about to come to market? </w:t>
      </w:r>
    </w:p>
    <w:p w:rsidR="00DB707F" w:rsidRPr="00DB707F" w:rsidRDefault="00DB707F" w:rsidP="00DB707F">
      <w:pPr>
        <w:autoSpaceDE w:val="0"/>
        <w:autoSpaceDN w:val="0"/>
        <w:adjustRightInd w:val="0"/>
        <w:spacing w:after="0" w:line="240" w:lineRule="auto"/>
        <w:rPr>
          <w:rFonts w:ascii="Times New Roman" w:hAnsi="Times New Roman" w:cs="Times New Roman"/>
          <w:color w:val="000000"/>
          <w:sz w:val="23"/>
          <w:szCs w:val="23"/>
          <w:lang w:val="en-US"/>
        </w:rPr>
      </w:pPr>
      <w:r w:rsidRPr="00DB707F">
        <w:rPr>
          <w:rFonts w:ascii="Times New Roman" w:hAnsi="Times New Roman" w:cs="Times New Roman"/>
          <w:i/>
          <w:iCs/>
          <w:color w:val="000000"/>
          <w:sz w:val="23"/>
          <w:szCs w:val="23"/>
          <w:lang w:val="en-US"/>
        </w:rPr>
        <w:t xml:space="preserve">A: This guidance explains how the existing laws and regulatory requirements apply to GE animals. The guidance does not itself impose any requirements, but instead provides recommendations for how sponsors can meet legal and regulatory requirements. We cannot predict when any approvals will be completed, but the timing of such approvals is unrelated to the issuance of this guidance in final form.” </w:t>
      </w:r>
    </w:p>
    <w:p w:rsidR="00DB707F" w:rsidRPr="00DB707F" w:rsidRDefault="00DB707F" w:rsidP="00DB707F">
      <w:pPr>
        <w:autoSpaceDE w:val="0"/>
        <w:autoSpaceDN w:val="0"/>
        <w:adjustRightInd w:val="0"/>
        <w:spacing w:after="0" w:line="240" w:lineRule="auto"/>
        <w:rPr>
          <w:rFonts w:ascii="Cambria" w:hAnsi="Cambria" w:cs="Cambria"/>
          <w:color w:val="000000"/>
          <w:sz w:val="23"/>
          <w:szCs w:val="23"/>
        </w:rPr>
      </w:pPr>
      <w:r w:rsidRPr="00DB707F">
        <w:rPr>
          <w:rFonts w:ascii="Cambria" w:hAnsi="Cambria" w:cs="Cambria"/>
          <w:b/>
          <w:bCs/>
          <w:color w:val="000000"/>
          <w:sz w:val="23"/>
          <w:szCs w:val="23"/>
        </w:rPr>
        <w:t xml:space="preserve">2.6.5. Actualidad de la FDA: el caso del salmón transgénico </w:t>
      </w:r>
    </w:p>
    <w:p w:rsidR="00DB707F" w:rsidRPr="00DB707F" w:rsidRDefault="00DB707F" w:rsidP="00DB707F">
      <w:pPr>
        <w:autoSpaceDE w:val="0"/>
        <w:autoSpaceDN w:val="0"/>
        <w:adjustRightInd w:val="0"/>
        <w:spacing w:after="0" w:line="240" w:lineRule="auto"/>
        <w:rPr>
          <w:rFonts w:ascii="Cambria" w:hAnsi="Cambria" w:cs="Cambria"/>
          <w:color w:val="000000"/>
          <w:sz w:val="23"/>
          <w:szCs w:val="23"/>
        </w:rPr>
      </w:pP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El mencionado caso podría ser considerado como el caso de mayor calado, con mayor repercusión y con visos de ser el modelo ejemplarizante por ser el primer alimento de origen animal, modificado genéticamente apto para el consumo alimenticio.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El salmón del que trata este apartado es el salmón </w:t>
      </w:r>
      <w:proofErr w:type="spellStart"/>
      <w:r w:rsidRPr="00DB707F">
        <w:rPr>
          <w:rFonts w:ascii="Cambria" w:hAnsi="Cambria" w:cs="Cambria"/>
          <w:color w:val="000000"/>
        </w:rPr>
        <w:t>Aquadvantage</w:t>
      </w:r>
      <w:proofErr w:type="spellEnd"/>
      <w:r w:rsidRPr="00DB707F">
        <w:rPr>
          <w:rFonts w:ascii="Cambria" w:hAnsi="Cambria" w:cs="Cambria"/>
          <w:color w:val="000000"/>
        </w:rPr>
        <w:t xml:space="preserve">, de la compañía </w:t>
      </w:r>
      <w:proofErr w:type="spellStart"/>
      <w:r w:rsidRPr="00DB707F">
        <w:rPr>
          <w:rFonts w:ascii="Cambria" w:hAnsi="Cambria" w:cs="Cambria"/>
          <w:color w:val="000000"/>
        </w:rPr>
        <w:t>Aquabounty</w:t>
      </w:r>
      <w:proofErr w:type="spellEnd"/>
      <w:r w:rsidRPr="00DB707F">
        <w:rPr>
          <w:rFonts w:ascii="Cambria" w:hAnsi="Cambria" w:cs="Cambria"/>
          <w:color w:val="000000"/>
        </w:rPr>
        <w:t xml:space="preserve"> Technologies. Se trata de un salmón Atlántico tradicional (</w:t>
      </w:r>
      <w:r w:rsidRPr="00DB707F">
        <w:rPr>
          <w:rFonts w:ascii="Cambria" w:hAnsi="Cambria" w:cs="Cambria"/>
          <w:i/>
          <w:iCs/>
          <w:color w:val="000000"/>
        </w:rPr>
        <w:t>Salmo salar</w:t>
      </w:r>
      <w:r w:rsidRPr="00DB707F">
        <w:rPr>
          <w:rFonts w:ascii="Cambria" w:hAnsi="Cambria" w:cs="Cambria"/>
          <w:color w:val="000000"/>
        </w:rPr>
        <w:t>) el cual ha sido modificado por la adición de una hormona reguladora del crecimiento gen de un salmón Chinook Pacífico (</w:t>
      </w:r>
      <w:proofErr w:type="spellStart"/>
      <w:r w:rsidRPr="00DB707F">
        <w:rPr>
          <w:rFonts w:ascii="Cambria" w:hAnsi="Cambria" w:cs="Cambria"/>
          <w:i/>
          <w:iCs/>
          <w:color w:val="000000"/>
        </w:rPr>
        <w:t>Oncorhynchus</w:t>
      </w:r>
      <w:proofErr w:type="spellEnd"/>
      <w:r w:rsidRPr="00DB707F">
        <w:rPr>
          <w:rFonts w:ascii="Cambria" w:hAnsi="Cambria" w:cs="Cambria"/>
          <w:i/>
          <w:iCs/>
          <w:color w:val="000000"/>
        </w:rPr>
        <w:t xml:space="preserve"> </w:t>
      </w:r>
      <w:proofErr w:type="spellStart"/>
      <w:r w:rsidRPr="00DB707F">
        <w:rPr>
          <w:rFonts w:ascii="Cambria" w:hAnsi="Cambria" w:cs="Cambria"/>
          <w:i/>
          <w:iCs/>
          <w:color w:val="000000"/>
        </w:rPr>
        <w:t>tshawytscha</w:t>
      </w:r>
      <w:proofErr w:type="spellEnd"/>
      <w:proofErr w:type="gramStart"/>
      <w:r w:rsidRPr="00DB707F">
        <w:rPr>
          <w:rFonts w:ascii="Cambria" w:hAnsi="Cambria" w:cs="Cambria"/>
          <w:color w:val="000000"/>
        </w:rPr>
        <w:t>)y</w:t>
      </w:r>
      <w:proofErr w:type="gramEnd"/>
      <w:r w:rsidRPr="00DB707F">
        <w:rPr>
          <w:rFonts w:ascii="Cambria" w:hAnsi="Cambria" w:cs="Cambria"/>
          <w:color w:val="000000"/>
        </w:rPr>
        <w:t xml:space="preserve"> un gen promotor de un abadejo que funciona como interruptor genético.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El salmón fue desarrollado en 1989. Empezaron entonces peticiones por parte de la empresa hacia la FDA, la cual consideró en 2010 su consumo como seguro.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El escollo principal pasó a ser los problemas medioambientales que podía suponer una posible contaminación ecológica por parte de dicho </w:t>
      </w:r>
      <w:proofErr w:type="spellStart"/>
      <w:r w:rsidRPr="00DB707F">
        <w:rPr>
          <w:rFonts w:ascii="Cambria" w:hAnsi="Cambria" w:cs="Cambria"/>
          <w:color w:val="000000"/>
        </w:rPr>
        <w:t>salmon</w:t>
      </w:r>
      <w:proofErr w:type="spellEnd"/>
      <w:r w:rsidRPr="00DB707F">
        <w:rPr>
          <w:rFonts w:ascii="Cambria" w:hAnsi="Cambria" w:cs="Cambria"/>
          <w:color w:val="000000"/>
        </w:rPr>
        <w:t xml:space="preserve">, y tras anunciarse el inicio de los estudios en mayo de este mismo año, el día 23 de diciembre se anunció que el salmón es considerado como seguro, y que no existe </w:t>
      </w:r>
      <w:proofErr w:type="spellStart"/>
      <w:r w:rsidRPr="00DB707F">
        <w:rPr>
          <w:rFonts w:ascii="Cambria" w:hAnsi="Cambria" w:cs="Cambria"/>
          <w:color w:val="000000"/>
        </w:rPr>
        <w:t>riesgomedioambiental</w:t>
      </w:r>
      <w:proofErr w:type="spellEnd"/>
      <w:r w:rsidRPr="00DB707F">
        <w:rPr>
          <w:rFonts w:ascii="Cambria" w:hAnsi="Cambria" w:cs="Cambria"/>
          <w:color w:val="000000"/>
        </w:rPr>
        <w:t xml:space="preserve">. En su informe, la FDA considera “extremadamente remoto” que algún ejemplar se pueda escapar de las instalaciones de </w:t>
      </w:r>
      <w:proofErr w:type="spellStart"/>
      <w:r w:rsidRPr="00DB707F">
        <w:rPr>
          <w:rFonts w:ascii="Cambria" w:hAnsi="Cambria" w:cs="Cambria"/>
          <w:color w:val="000000"/>
        </w:rPr>
        <w:t>Aquabounty</w:t>
      </w:r>
      <w:proofErr w:type="spellEnd"/>
      <w:r w:rsidRPr="00DB707F">
        <w:rPr>
          <w:rFonts w:ascii="Cambria" w:hAnsi="Cambria" w:cs="Cambria"/>
          <w:color w:val="000000"/>
        </w:rPr>
        <w:t xml:space="preserve">: las de la Isla del Príncipe Edward (Canadá), en la que se producen los huevos, o en las granjas de Panamá, en las que son cultivados. </w:t>
      </w:r>
    </w:p>
    <w:p w:rsidR="00DB707F" w:rsidRDefault="00DB707F" w:rsidP="00DB707F">
      <w:pPr>
        <w:rPr>
          <w:rFonts w:ascii="Cambria" w:hAnsi="Cambria" w:cs="Cambria"/>
          <w:color w:val="000000"/>
        </w:rPr>
      </w:pPr>
      <w:r w:rsidRPr="00DB707F">
        <w:rPr>
          <w:rFonts w:ascii="Cambria" w:hAnsi="Cambria" w:cs="Cambria"/>
          <w:color w:val="000000"/>
        </w:rPr>
        <w:t>Además, en caso de que se produjera un escape, es igualmente “extremadamente remoto” que pudieran criar, migrar y colonizar el entorno, según la FDA. Alega que solo se crían hembras y que están esterilizadas, aunque la técnica no es fiable al 100%. El informe matiza que solo se pronuncia para estos cultivos y que no implica que se pueda extender a cualquier cultivo de salmón transgénico en cualquier condición y en cualquier país.</w:t>
      </w:r>
    </w:p>
    <w:p w:rsidR="00DB707F" w:rsidRDefault="00DB707F" w:rsidP="00DB707F">
      <w:pPr>
        <w:rPr>
          <w:color w:val="1F497D" w:themeColor="text2"/>
        </w:rPr>
      </w:pPr>
      <w:r>
        <w:rPr>
          <w:noProof/>
          <w:color w:val="1F497D" w:themeColor="text2"/>
          <w:lang w:eastAsia="es-ES"/>
        </w:rPr>
        <w:lastRenderedPageBreak/>
        <w:drawing>
          <wp:inline distT="0" distB="0" distL="0" distR="0">
            <wp:extent cx="5400675" cy="6858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6858000"/>
                    </a:xfrm>
                    <a:prstGeom prst="rect">
                      <a:avLst/>
                    </a:prstGeom>
                    <a:noFill/>
                    <a:ln>
                      <a:noFill/>
                    </a:ln>
                  </pic:spPr>
                </pic:pic>
              </a:graphicData>
            </a:graphic>
          </wp:inline>
        </w:drawing>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Se esperan ahora 2 meses de alegaciones, periodo mínimo para su posible pero no segura comercialización.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La información concreta (incluidos los </w:t>
      </w:r>
      <w:proofErr w:type="spellStart"/>
      <w:r w:rsidRPr="00DB707F">
        <w:rPr>
          <w:rFonts w:ascii="Cambria" w:hAnsi="Cambria" w:cs="Cambria"/>
          <w:color w:val="000000"/>
        </w:rPr>
        <w:t>PDFs</w:t>
      </w:r>
      <w:proofErr w:type="spellEnd"/>
      <w:r w:rsidRPr="00DB707F">
        <w:rPr>
          <w:rFonts w:ascii="Cambria" w:hAnsi="Cambria" w:cs="Cambria"/>
          <w:color w:val="000000"/>
        </w:rPr>
        <w:t xml:space="preserve"> relativos a todo el proceso) la podemos encontrar en la web de la FDA, en el siguiente link: (1) </w:t>
      </w:r>
    </w:p>
    <w:p w:rsidR="00DB707F" w:rsidRDefault="00DB707F" w:rsidP="00DB707F">
      <w:pPr>
        <w:rPr>
          <w:rFonts w:ascii="Cambria" w:hAnsi="Cambria" w:cs="Cambria"/>
          <w:color w:val="000000"/>
        </w:rPr>
      </w:pPr>
      <w:r w:rsidRPr="00DB707F">
        <w:rPr>
          <w:rFonts w:ascii="Cambria" w:hAnsi="Cambria" w:cs="Cambria"/>
          <w:color w:val="000000"/>
        </w:rPr>
        <w:t xml:space="preserve">Asimismo </w:t>
      </w:r>
      <w:proofErr w:type="gramStart"/>
      <w:r w:rsidRPr="00DB707F">
        <w:rPr>
          <w:rFonts w:ascii="Cambria" w:hAnsi="Cambria" w:cs="Cambria"/>
          <w:color w:val="000000"/>
        </w:rPr>
        <w:t>caben</w:t>
      </w:r>
      <w:proofErr w:type="gramEnd"/>
      <w:r w:rsidRPr="00DB707F">
        <w:rPr>
          <w:rFonts w:ascii="Cambria" w:hAnsi="Cambria" w:cs="Cambria"/>
          <w:color w:val="000000"/>
        </w:rPr>
        <w:t xml:space="preserve"> destacar la repercusión en los medios de la noticia (enlace abajo) y como esta se refleja a nivel económico en las acciones de la compañía, donde inversores ven un buen proyecto de futuro</w:t>
      </w:r>
    </w:p>
    <w:p w:rsidR="00DB707F" w:rsidRDefault="00DB707F" w:rsidP="00DB707F">
      <w:r>
        <w:t>(</w:t>
      </w:r>
      <w:proofErr w:type="gramStart"/>
      <w:r>
        <w:t>destacado</w:t>
      </w:r>
      <w:proofErr w:type="gramEnd"/>
      <w:r>
        <w:t xml:space="preserve"> en círculos rojos el auge de mayo tras conocerse el inicio de los estudios y la espectacular subida de las acciones coincidiendo con el día del anuncio del veredicto, 23 de diciembre 2012) (2)</w:t>
      </w:r>
    </w:p>
    <w:p w:rsidR="00DB707F" w:rsidRDefault="00DB707F" w:rsidP="00DB707F">
      <w:pPr>
        <w:rPr>
          <w:color w:val="1F497D" w:themeColor="text2"/>
        </w:rPr>
      </w:pPr>
      <w:r>
        <w:rPr>
          <w:noProof/>
          <w:color w:val="1F497D" w:themeColor="text2"/>
          <w:lang w:eastAsia="es-ES"/>
        </w:rPr>
        <w:lastRenderedPageBreak/>
        <w:drawing>
          <wp:inline distT="0" distB="0" distL="0" distR="0">
            <wp:extent cx="6654165" cy="46525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4165" cy="4652568"/>
                    </a:xfrm>
                    <a:prstGeom prst="rect">
                      <a:avLst/>
                    </a:prstGeom>
                    <a:noFill/>
                    <a:ln>
                      <a:noFill/>
                    </a:ln>
                  </pic:spPr>
                </pic:pic>
              </a:graphicData>
            </a:graphic>
          </wp:inline>
        </w:drawing>
      </w:r>
    </w:p>
    <w:p w:rsidR="00DB707F" w:rsidRPr="00DB707F" w:rsidRDefault="00DB707F" w:rsidP="00DB707F">
      <w:pPr>
        <w:autoSpaceDE w:val="0"/>
        <w:autoSpaceDN w:val="0"/>
        <w:adjustRightInd w:val="0"/>
        <w:spacing w:after="0" w:line="240" w:lineRule="auto"/>
        <w:rPr>
          <w:rFonts w:ascii="Cambria" w:hAnsi="Cambria" w:cs="Cambria"/>
          <w:color w:val="000000"/>
          <w:sz w:val="24"/>
          <w:szCs w:val="24"/>
        </w:rPr>
      </w:pPr>
    </w:p>
    <w:p w:rsidR="00DB707F" w:rsidRPr="00DB707F" w:rsidRDefault="00DB707F" w:rsidP="00DB707F">
      <w:pPr>
        <w:autoSpaceDE w:val="0"/>
        <w:autoSpaceDN w:val="0"/>
        <w:adjustRightInd w:val="0"/>
        <w:spacing w:after="0" w:line="240" w:lineRule="auto"/>
        <w:rPr>
          <w:rFonts w:ascii="Cambria" w:hAnsi="Cambria" w:cs="Cambria"/>
          <w:color w:val="000000"/>
          <w:sz w:val="23"/>
          <w:szCs w:val="23"/>
        </w:rPr>
      </w:pPr>
      <w:r w:rsidRPr="00DB707F">
        <w:rPr>
          <w:rFonts w:ascii="Cambria" w:hAnsi="Cambria" w:cs="Cambria"/>
          <w:b/>
          <w:bCs/>
          <w:color w:val="000000"/>
          <w:sz w:val="23"/>
          <w:szCs w:val="23"/>
        </w:rPr>
        <w:t xml:space="preserve">2.6.6. Conclusiones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A modo de conclusión, nos gustaría destacar, que a título personal la sensación transmitida por la FDA es que no se trata de un organismo excesivamente intervencionista en el terreno de las plantas y derivados genéticamente modificados: si la evidencia científica no es clara a la hora de excluir un producto por razones de salud o medioambientales (nos referimos a un conjunto, como podría ser los OMG), la decisión de permitirse su comercialización o no, pasa por lo que podría resumirse como “el interés mayor” que podría ser, el interés general, dejando una constante relación abierta respecto a consumidores como productores y (repetimos, según nuestra valoración) sopesando las peticiones de manera abierta y mayormente transparente. </w:t>
      </w:r>
    </w:p>
    <w:p w:rsidR="00DB707F" w:rsidRPr="00DB707F" w:rsidRDefault="00DB707F" w:rsidP="00DB707F">
      <w:pPr>
        <w:autoSpaceDE w:val="0"/>
        <w:autoSpaceDN w:val="0"/>
        <w:adjustRightInd w:val="0"/>
        <w:spacing w:after="0" w:line="240" w:lineRule="auto"/>
        <w:rPr>
          <w:rFonts w:ascii="Cambria" w:hAnsi="Cambria" w:cs="Cambria"/>
          <w:color w:val="000000"/>
        </w:rPr>
      </w:pPr>
      <w:r w:rsidRPr="00DB707F">
        <w:rPr>
          <w:rFonts w:ascii="Cambria" w:hAnsi="Cambria" w:cs="Cambria"/>
          <w:color w:val="000000"/>
        </w:rPr>
        <w:t xml:space="preserve">Como claro ejemplo de este hecho, mostramos un fragmento traducido de la guía de regulación de animales modificados genéticamente de setiembre 2008: </w:t>
      </w:r>
    </w:p>
    <w:p w:rsidR="00DB707F" w:rsidRDefault="00DB707F" w:rsidP="00DB707F">
      <w:pPr>
        <w:rPr>
          <w:rFonts w:ascii="Cambria" w:hAnsi="Cambria" w:cs="Cambria"/>
          <w:i/>
          <w:iCs/>
          <w:color w:val="000000"/>
        </w:rPr>
      </w:pPr>
      <w:r w:rsidRPr="00DB707F">
        <w:rPr>
          <w:rFonts w:ascii="Cambria" w:hAnsi="Cambria" w:cs="Cambria"/>
          <w:i/>
          <w:iCs/>
          <w:color w:val="000000"/>
        </w:rPr>
        <w:t>“FDA solicitó comentarios públicos durante 60 días después del lanzamiento de su proyecto de orientación sobre la reglamentación de los animales genéticamente modificados en septiembre de 2008. La agencia recibió observaciones de los grupos e individuos que van de los consumidores y los defensores de los animales, a los productores de alimentos y las asociaciones profesionales, a los académicos e investigadores. FDA considera las aproximadamente 28.000 comentarios públicos en la elaboración de la guía final.”</w:t>
      </w:r>
    </w:p>
    <w:p w:rsidR="00DB707F" w:rsidRPr="00DB707F" w:rsidRDefault="00DB707F" w:rsidP="00DB707F">
      <w:pPr>
        <w:rPr>
          <w:color w:val="1F497D" w:themeColor="text2"/>
        </w:rPr>
      </w:pPr>
      <w:r>
        <w:t>En cambio sí se muestra la agencia muy susceptible, probablemente por la opinión pública, respecto a los animales modificados genéticamente, permitiendo prácticamente todos los usos de dichos animales bajo estricta supervisión tanto de salud animal como humana como riesgos medioambientales entre otros, pero que no ha aprobado el consumo de ningún animal modificado genéticamente hasta hace poco, y ni siquiera aún estos alimentos pueden ser comercializados, como hemos observado ene l caso del salmón.</w:t>
      </w:r>
      <w:bookmarkStart w:id="0" w:name="_GoBack"/>
      <w:bookmarkEnd w:id="0"/>
    </w:p>
    <w:sectPr w:rsidR="00DB707F" w:rsidRPr="00DB707F" w:rsidSect="00C50444">
      <w:pgSz w:w="11899" w:h="17340"/>
      <w:pgMar w:top="543" w:right="810" w:bottom="29" w:left="61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7DE"/>
    <w:rsid w:val="008846E9"/>
    <w:rsid w:val="00AA37DE"/>
    <w:rsid w:val="00BA12BC"/>
    <w:rsid w:val="00DB70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A37DE"/>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A37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37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A37DE"/>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A37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37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9969</Words>
  <Characters>54832</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luffy</dc:creator>
  <cp:lastModifiedBy>luffy</cp:lastModifiedBy>
  <cp:revision>2</cp:revision>
  <dcterms:created xsi:type="dcterms:W3CDTF">2015-11-19T05:43:00Z</dcterms:created>
  <dcterms:modified xsi:type="dcterms:W3CDTF">2015-11-19T08:40:00Z</dcterms:modified>
</cp:coreProperties>
</file>